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12D" w:rsidRDefault="00AE7DDB">
      <w:pPr>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学年论文2</w:t>
      </w:r>
      <w:r>
        <w:rPr>
          <w:rFonts w:asciiTheme="minorEastAsia" w:eastAsiaTheme="minorEastAsia" w:hAnsiTheme="minorEastAsia"/>
          <w:b/>
          <w:color w:val="000000" w:themeColor="text1"/>
          <w:sz w:val="32"/>
          <w:szCs w:val="32"/>
        </w:rPr>
        <w:t>》教学大纲</w:t>
      </w:r>
    </w:p>
    <w:p w:rsidR="00D5012D" w:rsidRDefault="00D5012D">
      <w:pPr>
        <w:jc w:val="center"/>
        <w:rPr>
          <w:rFonts w:asciiTheme="minorEastAsia" w:eastAsiaTheme="minorEastAsia" w:hAnsiTheme="minorEastAsia"/>
          <w:b/>
          <w:color w:val="000000" w:themeColor="text1"/>
          <w:sz w:val="32"/>
          <w:szCs w:val="32"/>
        </w:rPr>
      </w:pPr>
    </w:p>
    <w:p w:rsidR="00D5012D" w:rsidRDefault="00AE7DD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789" w:type="dxa"/>
        <w:tblInd w:w="108" w:type="dxa"/>
        <w:tblBorders>
          <w:top w:val="single" w:sz="12" w:space="0" w:color="auto"/>
          <w:left w:val="single" w:sz="12" w:space="0" w:color="auto"/>
          <w:bottom w:val="single" w:sz="12" w:space="0" w:color="auto"/>
          <w:right w:val="single" w:sz="12" w:space="0" w:color="auto"/>
        </w:tblBorders>
        <w:tblLook w:val="04A0"/>
      </w:tblPr>
      <w:tblGrid>
        <w:gridCol w:w="1421"/>
        <w:gridCol w:w="1479"/>
        <w:gridCol w:w="1211"/>
        <w:gridCol w:w="1559"/>
        <w:gridCol w:w="1605"/>
        <w:gridCol w:w="1514"/>
      </w:tblGrid>
      <w:tr w:rsidR="00D5012D">
        <w:trPr>
          <w:trHeight w:val="354"/>
        </w:trPr>
        <w:tc>
          <w:tcPr>
            <w:tcW w:w="1421" w:type="dxa"/>
            <w:vAlign w:val="center"/>
          </w:tcPr>
          <w:p w:rsidR="00D5012D" w:rsidRDefault="00AE7DDB">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vAlign w:val="center"/>
          </w:tcPr>
          <w:p w:rsidR="00D5012D" w:rsidRDefault="00AE7DDB">
            <w:pPr>
              <w:jc w:val="center"/>
              <w:rPr>
                <w:rFonts w:cs="Times New Roman"/>
                <w:color w:val="000000" w:themeColor="text1"/>
                <w:sz w:val="21"/>
                <w:szCs w:val="21"/>
              </w:rPr>
            </w:pPr>
            <w:r>
              <w:rPr>
                <w:rFonts w:cs="Times New Roman" w:hint="eastAsia"/>
                <w:color w:val="000000" w:themeColor="text1"/>
                <w:sz w:val="21"/>
                <w:szCs w:val="21"/>
              </w:rPr>
              <w:t>专业必修课程</w:t>
            </w:r>
          </w:p>
        </w:tc>
        <w:tc>
          <w:tcPr>
            <w:tcW w:w="1211" w:type="dxa"/>
            <w:vAlign w:val="center"/>
          </w:tcPr>
          <w:p w:rsidR="00D5012D" w:rsidRDefault="00AE7DDB">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D5012D" w:rsidRDefault="00AE7DDB">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rsidR="00D5012D" w:rsidRDefault="00AE7DDB">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rsidR="00D5012D" w:rsidRDefault="00AE7DDB">
            <w:pPr>
              <w:jc w:val="center"/>
              <w:rPr>
                <w:rFonts w:cs="Times New Roman"/>
                <w:color w:val="000000" w:themeColor="text1"/>
                <w:sz w:val="21"/>
                <w:szCs w:val="21"/>
              </w:rPr>
            </w:pPr>
            <w:r>
              <w:rPr>
                <w:rFonts w:cs="Times New Roman" w:hint="eastAsia"/>
                <w:color w:val="000000" w:themeColor="text1"/>
                <w:sz w:val="21"/>
                <w:szCs w:val="21"/>
              </w:rPr>
              <w:t>必修</w:t>
            </w:r>
          </w:p>
        </w:tc>
      </w:tr>
      <w:tr w:rsidR="00D5012D">
        <w:trPr>
          <w:trHeight w:val="371"/>
        </w:trPr>
        <w:tc>
          <w:tcPr>
            <w:tcW w:w="1421"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学年论文2</w:t>
            </w:r>
          </w:p>
        </w:tc>
        <w:tc>
          <w:tcPr>
            <w:tcW w:w="1559"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Academic paper of Business Administration Ⅱ</w:t>
            </w:r>
          </w:p>
        </w:tc>
      </w:tr>
      <w:tr w:rsidR="00D5012D">
        <w:trPr>
          <w:trHeight w:val="371"/>
        </w:trPr>
        <w:tc>
          <w:tcPr>
            <w:tcW w:w="1421"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2"/>
            <w:vAlign w:val="center"/>
          </w:tcPr>
          <w:p w:rsidR="00D5012D" w:rsidRDefault="0070687A">
            <w:pPr>
              <w:jc w:val="center"/>
              <w:rPr>
                <w:rFonts w:cs="PMingLiU"/>
                <w:color w:val="000000" w:themeColor="text1"/>
                <w:sz w:val="21"/>
                <w:szCs w:val="21"/>
              </w:rPr>
            </w:pPr>
            <w:r>
              <w:rPr>
                <w:rFonts w:ascii="å®‹ä½“" w:hAnsi="å®‹ä½“" w:cs="å®‹ä½“"/>
                <w:sz w:val="18"/>
                <w:szCs w:val="18"/>
              </w:rPr>
              <w:t>F01ZB62Z</w:t>
            </w:r>
          </w:p>
        </w:tc>
        <w:tc>
          <w:tcPr>
            <w:tcW w:w="1559"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工商管理</w:t>
            </w:r>
          </w:p>
        </w:tc>
      </w:tr>
      <w:tr w:rsidR="00D5012D">
        <w:trPr>
          <w:trHeight w:val="90"/>
        </w:trPr>
        <w:tc>
          <w:tcPr>
            <w:tcW w:w="1421"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rsidR="00D5012D" w:rsidRDefault="00583977">
            <w:pPr>
              <w:spacing w:line="280" w:lineRule="exact"/>
              <w:jc w:val="center"/>
              <w:rPr>
                <w:rFonts w:cs="PMingLiU"/>
                <w:color w:val="000000" w:themeColor="text1"/>
                <w:sz w:val="21"/>
                <w:szCs w:val="21"/>
              </w:rPr>
            </w:pPr>
            <w:r>
              <w:rPr>
                <w:rFonts w:cs="PMingLiU" w:hint="eastAsia"/>
                <w:color w:val="000000" w:themeColor="text1"/>
                <w:sz w:val="21"/>
                <w:szCs w:val="21"/>
              </w:rPr>
              <w:t>管理学原理等课程</w:t>
            </w:r>
          </w:p>
        </w:tc>
      </w:tr>
      <w:tr w:rsidR="00D5012D">
        <w:trPr>
          <w:trHeight w:val="358"/>
        </w:trPr>
        <w:tc>
          <w:tcPr>
            <w:tcW w:w="1421"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总学时</w:t>
            </w:r>
          </w:p>
        </w:tc>
        <w:tc>
          <w:tcPr>
            <w:tcW w:w="2690"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1周</w:t>
            </w:r>
          </w:p>
        </w:tc>
        <w:tc>
          <w:tcPr>
            <w:tcW w:w="1559" w:type="dxa"/>
            <w:vAlign w:val="center"/>
          </w:tcPr>
          <w:p w:rsidR="00D5012D" w:rsidRDefault="00AE7DDB">
            <w:pPr>
              <w:jc w:val="center"/>
              <w:rPr>
                <w:rFonts w:cs="PMingLiU"/>
                <w:b/>
                <w:color w:val="000000" w:themeColor="text1"/>
                <w:sz w:val="21"/>
                <w:szCs w:val="21"/>
              </w:rPr>
            </w:pPr>
            <w:r>
              <w:rPr>
                <w:rFonts w:cs="PMingLiU" w:hint="eastAsia"/>
                <w:b/>
                <w:color w:val="000000" w:themeColor="text1"/>
                <w:sz w:val="21"/>
                <w:szCs w:val="21"/>
              </w:rPr>
              <w:t>学分</w:t>
            </w:r>
          </w:p>
        </w:tc>
        <w:tc>
          <w:tcPr>
            <w:tcW w:w="3119" w:type="dxa"/>
            <w:gridSpan w:val="2"/>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1</w:t>
            </w:r>
          </w:p>
        </w:tc>
      </w:tr>
      <w:tr w:rsidR="00D5012D">
        <w:trPr>
          <w:trHeight w:val="358"/>
        </w:trPr>
        <w:tc>
          <w:tcPr>
            <w:tcW w:w="4111" w:type="dxa"/>
            <w:gridSpan w:val="3"/>
            <w:vAlign w:val="center"/>
          </w:tcPr>
          <w:p w:rsidR="00D5012D" w:rsidRDefault="00AE7DDB">
            <w:pPr>
              <w:jc w:val="center"/>
              <w:rPr>
                <w:rFonts w:cs="PMingLiU"/>
                <w:color w:val="000000" w:themeColor="text1"/>
                <w:sz w:val="21"/>
                <w:szCs w:val="21"/>
              </w:rPr>
            </w:pPr>
            <w:r>
              <w:rPr>
                <w:rFonts w:cs="PMingLiU" w:hint="eastAsia"/>
                <w:b/>
                <w:bCs/>
                <w:color w:val="000000" w:themeColor="text1"/>
                <w:sz w:val="21"/>
                <w:szCs w:val="21"/>
              </w:rPr>
              <w:t>开课单位</w:t>
            </w:r>
          </w:p>
        </w:tc>
        <w:tc>
          <w:tcPr>
            <w:tcW w:w="4678" w:type="dxa"/>
            <w:gridSpan w:val="3"/>
            <w:vAlign w:val="center"/>
          </w:tcPr>
          <w:p w:rsidR="00D5012D" w:rsidRDefault="00AE7DDB">
            <w:pPr>
              <w:jc w:val="center"/>
              <w:rPr>
                <w:rFonts w:cs="PMingLiU"/>
                <w:color w:val="000000" w:themeColor="text1"/>
                <w:sz w:val="21"/>
                <w:szCs w:val="21"/>
              </w:rPr>
            </w:pPr>
            <w:r>
              <w:rPr>
                <w:rFonts w:cs="PMingLiU" w:hint="eastAsia"/>
                <w:color w:val="000000" w:themeColor="text1"/>
                <w:sz w:val="21"/>
                <w:szCs w:val="21"/>
              </w:rPr>
              <w:t>商学院</w:t>
            </w:r>
          </w:p>
        </w:tc>
      </w:tr>
    </w:tbl>
    <w:p w:rsidR="00D5012D" w:rsidRDefault="00D5012D">
      <w:pPr>
        <w:ind w:firstLineChars="200" w:firstLine="562"/>
        <w:rPr>
          <w:rFonts w:ascii="Times New Roman" w:cs="Times New Roman"/>
          <w:b/>
          <w:color w:val="000000" w:themeColor="text1"/>
          <w:sz w:val="28"/>
          <w:szCs w:val="28"/>
        </w:rPr>
      </w:pPr>
    </w:p>
    <w:p w:rsidR="00D5012D" w:rsidRDefault="00AE7DDB">
      <w:pPr>
        <w:ind w:firstLineChars="200" w:firstLine="562"/>
        <w:rPr>
          <w:rStyle w:val="a6"/>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rsidR="00D5012D" w:rsidRDefault="00AE7DDB" w:rsidP="004D3FFE">
      <w:pPr>
        <w:spacing w:line="360" w:lineRule="auto"/>
        <w:ind w:firstLineChars="200" w:firstLine="416"/>
        <w:rPr>
          <w:spacing w:val="-1"/>
          <w:sz w:val="21"/>
        </w:rPr>
      </w:pPr>
      <w:r>
        <w:rPr>
          <w:rFonts w:hint="eastAsia"/>
          <w:spacing w:val="-1"/>
          <w:sz w:val="21"/>
        </w:rPr>
        <w:t>该课程是本科学生在学习了本专业大部分部专业课，数量掌握了本专业基本理论、基本知识、基本技能和具备基本学术能力的基础上，安排的一次学术实践。本课程重在培养学生工商管理专业学生通过规范的学科语言描述、总结、判断和分析经济事件、商业活动或企业行为，并进行初步学术探讨的能力。课程的主要目的和任务是培养学生的专业思维、学术思维和创新思维；培养学生运用专业知识，对商业实践进行初步学术探讨的能力；培养学生规范化收集数据、分析数据和进行学术探讨的能力。提高学生学术兴趣，强化学生学术意识。</w:t>
      </w:r>
    </w:p>
    <w:p w:rsidR="001D7A27" w:rsidRDefault="001D7A27" w:rsidP="001D7A27">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34"/>
        <w:gridCol w:w="8363"/>
      </w:tblGrid>
      <w:tr w:rsidR="001D7A27" w:rsidTr="00394CA7">
        <w:trPr>
          <w:trHeight w:val="413"/>
        </w:trPr>
        <w:tc>
          <w:tcPr>
            <w:tcW w:w="8897" w:type="dxa"/>
            <w:gridSpan w:val="2"/>
            <w:vAlign w:val="center"/>
          </w:tcPr>
          <w:p w:rsidR="001D7A27" w:rsidRDefault="001D7A27" w:rsidP="00394CA7">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1D7A27" w:rsidTr="00394CA7">
        <w:trPr>
          <w:trHeight w:val="849"/>
        </w:trPr>
        <w:tc>
          <w:tcPr>
            <w:tcW w:w="534" w:type="dxa"/>
            <w:vAlign w:val="center"/>
          </w:tcPr>
          <w:p w:rsidR="001D7A27" w:rsidRDefault="001D7A27" w:rsidP="00394CA7">
            <w:pPr>
              <w:tabs>
                <w:tab w:val="left" w:pos="1440"/>
              </w:tabs>
              <w:jc w:val="center"/>
              <w:outlineLvl w:val="0"/>
              <w:rPr>
                <w:b/>
                <w:color w:val="000000" w:themeColor="text1"/>
              </w:rPr>
            </w:pPr>
            <w:r>
              <w:rPr>
                <w:rFonts w:hint="eastAsia"/>
                <w:b/>
                <w:color w:val="000000" w:themeColor="text1"/>
              </w:rPr>
              <w:t>知</w:t>
            </w:r>
          </w:p>
          <w:p w:rsidR="001D7A27" w:rsidRDefault="001D7A27" w:rsidP="00394CA7">
            <w:pPr>
              <w:tabs>
                <w:tab w:val="left" w:pos="1440"/>
              </w:tabs>
              <w:jc w:val="center"/>
              <w:outlineLvl w:val="0"/>
              <w:rPr>
                <w:b/>
                <w:color w:val="000000" w:themeColor="text1"/>
              </w:rPr>
            </w:pPr>
            <w:r>
              <w:rPr>
                <w:rFonts w:hint="eastAsia"/>
                <w:b/>
                <w:color w:val="000000" w:themeColor="text1"/>
              </w:rPr>
              <w:t>识</w:t>
            </w:r>
          </w:p>
          <w:p w:rsidR="001D7A27" w:rsidRDefault="001D7A27" w:rsidP="00394CA7">
            <w:pPr>
              <w:tabs>
                <w:tab w:val="left" w:pos="1440"/>
              </w:tabs>
              <w:jc w:val="center"/>
              <w:outlineLvl w:val="0"/>
              <w:rPr>
                <w:b/>
                <w:color w:val="000000" w:themeColor="text1"/>
              </w:rPr>
            </w:pPr>
            <w:r>
              <w:rPr>
                <w:rFonts w:hint="eastAsia"/>
                <w:b/>
                <w:color w:val="000000" w:themeColor="text1"/>
              </w:rPr>
              <w:t>目</w:t>
            </w:r>
          </w:p>
          <w:p w:rsidR="001D7A27" w:rsidRDefault="001D7A27" w:rsidP="00394CA7">
            <w:pPr>
              <w:tabs>
                <w:tab w:val="left" w:pos="1440"/>
              </w:tabs>
              <w:jc w:val="center"/>
              <w:outlineLvl w:val="0"/>
              <w:rPr>
                <w:b/>
                <w:color w:val="000000" w:themeColor="text1"/>
              </w:rPr>
            </w:pPr>
            <w:r>
              <w:rPr>
                <w:rFonts w:hint="eastAsia"/>
                <w:b/>
                <w:color w:val="000000" w:themeColor="text1"/>
              </w:rPr>
              <w:t>标</w:t>
            </w:r>
          </w:p>
        </w:tc>
        <w:tc>
          <w:tcPr>
            <w:tcW w:w="8363" w:type="dxa"/>
            <w:vAlign w:val="center"/>
          </w:tcPr>
          <w:p w:rsidR="001D7A27" w:rsidRDefault="001D7A27" w:rsidP="001D7A27">
            <w:pPr>
              <w:rPr>
                <w:b/>
                <w:bCs/>
                <w:sz w:val="21"/>
                <w:szCs w:val="21"/>
              </w:rPr>
            </w:pPr>
            <w:r>
              <w:rPr>
                <w:rFonts w:hint="eastAsia"/>
                <w:b/>
                <w:bCs/>
                <w:sz w:val="21"/>
                <w:szCs w:val="21"/>
              </w:rPr>
              <w:t>目标</w:t>
            </w:r>
            <w:r>
              <w:rPr>
                <w:b/>
                <w:bCs/>
                <w:sz w:val="21"/>
                <w:szCs w:val="21"/>
              </w:rPr>
              <w:t>1</w:t>
            </w:r>
            <w:r>
              <w:rPr>
                <w:rFonts w:hint="eastAsia"/>
                <w:b/>
                <w:bCs/>
                <w:sz w:val="21"/>
                <w:szCs w:val="21"/>
              </w:rPr>
              <w:t>：</w:t>
            </w:r>
          </w:p>
          <w:p w:rsidR="001D7A27" w:rsidRDefault="001D7A27" w:rsidP="001D7A27">
            <w:pPr>
              <w:rPr>
                <w:b/>
                <w:bCs/>
                <w:sz w:val="21"/>
                <w:szCs w:val="21"/>
              </w:rPr>
            </w:pPr>
            <w:r>
              <w:rPr>
                <w:rFonts w:hint="eastAsia"/>
                <w:spacing w:val="-1"/>
                <w:sz w:val="21"/>
              </w:rPr>
              <w:t>学生通过分析地方经济社会发展情况，开展学年论文设计，灵活运用所学专业理论及知识。</w:t>
            </w:r>
          </w:p>
          <w:p w:rsidR="001D7A27" w:rsidRPr="001D7A27" w:rsidRDefault="001D7A27" w:rsidP="00394CA7">
            <w:pPr>
              <w:tabs>
                <w:tab w:val="left" w:pos="1440"/>
              </w:tabs>
              <w:outlineLvl w:val="0"/>
              <w:rPr>
                <w:sz w:val="21"/>
                <w:szCs w:val="21"/>
              </w:rPr>
            </w:pPr>
          </w:p>
        </w:tc>
      </w:tr>
      <w:tr w:rsidR="001D7A27" w:rsidTr="00394CA7">
        <w:trPr>
          <w:trHeight w:val="739"/>
        </w:trPr>
        <w:tc>
          <w:tcPr>
            <w:tcW w:w="534" w:type="dxa"/>
            <w:vAlign w:val="center"/>
          </w:tcPr>
          <w:p w:rsidR="001D7A27" w:rsidRDefault="001D7A27" w:rsidP="00394CA7">
            <w:pPr>
              <w:tabs>
                <w:tab w:val="left" w:pos="1440"/>
              </w:tabs>
              <w:jc w:val="center"/>
              <w:outlineLvl w:val="0"/>
              <w:rPr>
                <w:b/>
                <w:color w:val="000000" w:themeColor="text1"/>
              </w:rPr>
            </w:pPr>
            <w:r>
              <w:rPr>
                <w:rFonts w:hint="eastAsia"/>
                <w:b/>
                <w:color w:val="000000" w:themeColor="text1"/>
              </w:rPr>
              <w:t>能</w:t>
            </w:r>
          </w:p>
          <w:p w:rsidR="001D7A27" w:rsidRDefault="001D7A27" w:rsidP="00394CA7">
            <w:pPr>
              <w:tabs>
                <w:tab w:val="left" w:pos="1440"/>
              </w:tabs>
              <w:jc w:val="center"/>
              <w:outlineLvl w:val="0"/>
              <w:rPr>
                <w:b/>
                <w:color w:val="000000" w:themeColor="text1"/>
              </w:rPr>
            </w:pPr>
            <w:r>
              <w:rPr>
                <w:rFonts w:hint="eastAsia"/>
                <w:b/>
                <w:color w:val="000000" w:themeColor="text1"/>
              </w:rPr>
              <w:t>力</w:t>
            </w:r>
          </w:p>
          <w:p w:rsidR="001D7A27" w:rsidRDefault="001D7A27" w:rsidP="00394CA7">
            <w:pPr>
              <w:tabs>
                <w:tab w:val="left" w:pos="1440"/>
              </w:tabs>
              <w:jc w:val="center"/>
              <w:outlineLvl w:val="0"/>
              <w:rPr>
                <w:b/>
                <w:color w:val="000000" w:themeColor="text1"/>
              </w:rPr>
            </w:pPr>
            <w:r>
              <w:rPr>
                <w:rFonts w:hint="eastAsia"/>
                <w:b/>
                <w:color w:val="000000" w:themeColor="text1"/>
              </w:rPr>
              <w:t>目</w:t>
            </w:r>
          </w:p>
          <w:p w:rsidR="001D7A27" w:rsidRDefault="001D7A27" w:rsidP="00394CA7">
            <w:pPr>
              <w:tabs>
                <w:tab w:val="left" w:pos="1440"/>
              </w:tabs>
              <w:jc w:val="center"/>
              <w:outlineLvl w:val="0"/>
              <w:rPr>
                <w:b/>
                <w:color w:val="000000" w:themeColor="text1"/>
              </w:rPr>
            </w:pPr>
            <w:r>
              <w:rPr>
                <w:rFonts w:hint="eastAsia"/>
                <w:b/>
                <w:color w:val="000000" w:themeColor="text1"/>
              </w:rPr>
              <w:t>标</w:t>
            </w:r>
          </w:p>
        </w:tc>
        <w:tc>
          <w:tcPr>
            <w:tcW w:w="8363" w:type="dxa"/>
            <w:vAlign w:val="center"/>
          </w:tcPr>
          <w:p w:rsidR="001D7A27" w:rsidRDefault="001D7A27" w:rsidP="001D7A27">
            <w:pPr>
              <w:tabs>
                <w:tab w:val="left" w:pos="1440"/>
              </w:tabs>
              <w:outlineLvl w:val="0"/>
              <w:rPr>
                <w:b/>
                <w:bCs/>
                <w:sz w:val="21"/>
                <w:szCs w:val="21"/>
              </w:rPr>
            </w:pPr>
            <w:r>
              <w:rPr>
                <w:rFonts w:hint="eastAsia"/>
                <w:b/>
                <w:bCs/>
                <w:sz w:val="21"/>
                <w:szCs w:val="21"/>
              </w:rPr>
              <w:t>目标2：</w:t>
            </w:r>
          </w:p>
          <w:p w:rsidR="001D7A27" w:rsidRDefault="001D7A27" w:rsidP="001D7A27">
            <w:pPr>
              <w:tabs>
                <w:tab w:val="left" w:pos="1440"/>
              </w:tabs>
              <w:outlineLvl w:val="0"/>
              <w:rPr>
                <w:color w:val="000000"/>
                <w:sz w:val="21"/>
                <w:szCs w:val="21"/>
              </w:rPr>
            </w:pPr>
            <w:r>
              <w:rPr>
                <w:rFonts w:hint="eastAsia"/>
                <w:spacing w:val="-1"/>
                <w:sz w:val="21"/>
              </w:rPr>
              <w:t>培养学生学会资料的查阅、整理与利用的能力，以及培养学生了解科学研究的基本方法，掌握论文写作的基本思路、技巧与规范，培养学生发现问题，分析问题和解决问题的基本能力。</w:t>
            </w:r>
          </w:p>
        </w:tc>
      </w:tr>
      <w:tr w:rsidR="001D7A27" w:rsidTr="00394CA7">
        <w:trPr>
          <w:trHeight w:val="1664"/>
        </w:trPr>
        <w:tc>
          <w:tcPr>
            <w:tcW w:w="534" w:type="dxa"/>
            <w:vAlign w:val="center"/>
          </w:tcPr>
          <w:p w:rsidR="001D7A27" w:rsidRDefault="001D7A27" w:rsidP="00394CA7">
            <w:pPr>
              <w:tabs>
                <w:tab w:val="left" w:pos="1440"/>
              </w:tabs>
              <w:jc w:val="center"/>
              <w:outlineLvl w:val="0"/>
              <w:rPr>
                <w:b/>
                <w:color w:val="000000" w:themeColor="text1"/>
              </w:rPr>
            </w:pPr>
            <w:r>
              <w:rPr>
                <w:rFonts w:hint="eastAsia"/>
                <w:b/>
                <w:color w:val="000000" w:themeColor="text1"/>
              </w:rPr>
              <w:t>素</w:t>
            </w:r>
          </w:p>
          <w:p w:rsidR="001D7A27" w:rsidRDefault="001D7A27" w:rsidP="00394CA7">
            <w:pPr>
              <w:tabs>
                <w:tab w:val="left" w:pos="1440"/>
              </w:tabs>
              <w:jc w:val="center"/>
              <w:outlineLvl w:val="0"/>
              <w:rPr>
                <w:b/>
                <w:color w:val="000000" w:themeColor="text1"/>
              </w:rPr>
            </w:pPr>
            <w:r>
              <w:rPr>
                <w:rFonts w:hint="eastAsia"/>
                <w:b/>
                <w:color w:val="000000" w:themeColor="text1"/>
              </w:rPr>
              <w:t>质</w:t>
            </w:r>
          </w:p>
          <w:p w:rsidR="001D7A27" w:rsidRDefault="001D7A27" w:rsidP="00394CA7">
            <w:pPr>
              <w:tabs>
                <w:tab w:val="left" w:pos="1440"/>
              </w:tabs>
              <w:jc w:val="center"/>
              <w:outlineLvl w:val="0"/>
              <w:rPr>
                <w:b/>
                <w:color w:val="000000" w:themeColor="text1"/>
              </w:rPr>
            </w:pPr>
            <w:r>
              <w:rPr>
                <w:rFonts w:hint="eastAsia"/>
                <w:b/>
                <w:color w:val="000000" w:themeColor="text1"/>
              </w:rPr>
              <w:t>目</w:t>
            </w:r>
          </w:p>
          <w:p w:rsidR="001D7A27" w:rsidRDefault="001D7A27" w:rsidP="00394CA7">
            <w:pPr>
              <w:tabs>
                <w:tab w:val="left" w:pos="1440"/>
              </w:tabs>
              <w:jc w:val="center"/>
              <w:outlineLvl w:val="0"/>
              <w:rPr>
                <w:b/>
                <w:color w:val="000000" w:themeColor="text1"/>
              </w:rPr>
            </w:pPr>
            <w:r>
              <w:rPr>
                <w:rFonts w:hint="eastAsia"/>
                <w:b/>
                <w:color w:val="000000" w:themeColor="text1"/>
              </w:rPr>
              <w:t>标</w:t>
            </w:r>
          </w:p>
        </w:tc>
        <w:tc>
          <w:tcPr>
            <w:tcW w:w="8363" w:type="dxa"/>
            <w:vAlign w:val="center"/>
          </w:tcPr>
          <w:p w:rsidR="001D7A27" w:rsidRDefault="001D7A27" w:rsidP="001D7A27">
            <w:pPr>
              <w:tabs>
                <w:tab w:val="left" w:pos="1440"/>
              </w:tabs>
              <w:outlineLvl w:val="0"/>
              <w:rPr>
                <w:sz w:val="21"/>
                <w:szCs w:val="21"/>
              </w:rPr>
            </w:pPr>
            <w:r>
              <w:rPr>
                <w:rFonts w:hint="eastAsia"/>
                <w:b/>
                <w:bCs/>
                <w:sz w:val="21"/>
                <w:szCs w:val="21"/>
              </w:rPr>
              <w:t>目标3：</w:t>
            </w:r>
          </w:p>
          <w:p w:rsidR="001D7A27" w:rsidRDefault="001D7A27" w:rsidP="001D7A27">
            <w:pPr>
              <w:tabs>
                <w:tab w:val="left" w:pos="1440"/>
              </w:tabs>
              <w:outlineLvl w:val="0"/>
              <w:rPr>
                <w:spacing w:val="-1"/>
                <w:sz w:val="21"/>
              </w:rPr>
            </w:pPr>
            <w:r>
              <w:rPr>
                <w:rFonts w:hint="eastAsia"/>
                <w:spacing w:val="-1"/>
                <w:sz w:val="21"/>
              </w:rPr>
              <w:t>培养学生兼备国际视野和本土情怀的素质，善于运用所学专业知识，利用科学的方法分析和解决组织的管理问题。</w:t>
            </w:r>
          </w:p>
          <w:p w:rsidR="001D7A27" w:rsidRPr="001D7A27" w:rsidRDefault="001D7A27" w:rsidP="00394CA7">
            <w:pPr>
              <w:tabs>
                <w:tab w:val="left" w:pos="1440"/>
              </w:tabs>
              <w:outlineLvl w:val="0"/>
              <w:rPr>
                <w:sz w:val="21"/>
                <w:szCs w:val="21"/>
              </w:rPr>
            </w:pPr>
          </w:p>
        </w:tc>
      </w:tr>
    </w:tbl>
    <w:p w:rsidR="001D7A27" w:rsidRDefault="001D7A27" w:rsidP="001D7A27">
      <w:pPr>
        <w:ind w:firstLineChars="250" w:firstLine="703"/>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p w:rsidR="00D5012D" w:rsidRDefault="00AE7DDB">
      <w:pPr>
        <w:ind w:firstLineChars="250" w:firstLine="703"/>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07"/>
        <w:gridCol w:w="709"/>
        <w:gridCol w:w="4607"/>
        <w:gridCol w:w="1311"/>
        <w:gridCol w:w="886"/>
      </w:tblGrid>
      <w:tr w:rsidR="00D5012D">
        <w:trPr>
          <w:trHeight w:val="340"/>
          <w:jc w:val="center"/>
        </w:trPr>
        <w:tc>
          <w:tcPr>
            <w:tcW w:w="1107" w:type="dxa"/>
            <w:tcMar>
              <w:left w:w="28" w:type="dxa"/>
              <w:right w:w="28" w:type="dxa"/>
            </w:tcMar>
            <w:vAlign w:val="center"/>
          </w:tcPr>
          <w:p w:rsidR="00D5012D" w:rsidRDefault="00AE7DDB">
            <w:pPr>
              <w:jc w:val="center"/>
              <w:rPr>
                <w:b/>
                <w:bCs/>
                <w:color w:val="000000" w:themeColor="text1"/>
                <w:sz w:val="21"/>
                <w:szCs w:val="21"/>
              </w:rPr>
            </w:pPr>
            <w:r>
              <w:rPr>
                <w:rFonts w:hint="eastAsia"/>
                <w:b/>
                <w:bCs/>
                <w:color w:val="000000" w:themeColor="text1"/>
                <w:sz w:val="21"/>
                <w:szCs w:val="21"/>
              </w:rPr>
              <w:t>指导环节</w:t>
            </w:r>
          </w:p>
        </w:tc>
        <w:tc>
          <w:tcPr>
            <w:tcW w:w="709" w:type="dxa"/>
            <w:tcMar>
              <w:left w:w="28" w:type="dxa"/>
              <w:right w:w="28" w:type="dxa"/>
            </w:tcMar>
            <w:vAlign w:val="center"/>
          </w:tcPr>
          <w:p w:rsidR="00D5012D" w:rsidRDefault="00AE7DDB">
            <w:pPr>
              <w:jc w:val="center"/>
              <w:rPr>
                <w:b/>
                <w:bCs/>
                <w:color w:val="000000" w:themeColor="text1"/>
                <w:sz w:val="21"/>
                <w:szCs w:val="21"/>
              </w:rPr>
            </w:pPr>
            <w:r>
              <w:rPr>
                <w:rFonts w:hint="eastAsia"/>
                <w:b/>
                <w:bCs/>
                <w:color w:val="000000" w:themeColor="text1"/>
                <w:sz w:val="21"/>
                <w:szCs w:val="21"/>
              </w:rPr>
              <w:t>时间</w:t>
            </w:r>
          </w:p>
          <w:p w:rsidR="00D5012D" w:rsidRDefault="00AE7DDB">
            <w:pPr>
              <w:jc w:val="center"/>
              <w:rPr>
                <w:b/>
                <w:bCs/>
                <w:color w:val="000000" w:themeColor="text1"/>
                <w:sz w:val="21"/>
                <w:szCs w:val="21"/>
              </w:rPr>
            </w:pPr>
            <w:r>
              <w:rPr>
                <w:rFonts w:hint="eastAsia"/>
                <w:b/>
                <w:bCs/>
                <w:color w:val="000000" w:themeColor="text1"/>
                <w:sz w:val="21"/>
                <w:szCs w:val="21"/>
              </w:rPr>
              <w:t>安排</w:t>
            </w:r>
          </w:p>
        </w:tc>
        <w:tc>
          <w:tcPr>
            <w:tcW w:w="4607" w:type="dxa"/>
            <w:tcMar>
              <w:left w:w="28" w:type="dxa"/>
              <w:right w:w="28" w:type="dxa"/>
            </w:tcMar>
            <w:vAlign w:val="center"/>
          </w:tcPr>
          <w:p w:rsidR="00D5012D" w:rsidRDefault="00AE7DDB">
            <w:pPr>
              <w:jc w:val="center"/>
              <w:rPr>
                <w:b/>
                <w:bCs/>
                <w:color w:val="000000" w:themeColor="text1"/>
                <w:sz w:val="21"/>
                <w:szCs w:val="21"/>
              </w:rPr>
            </w:pPr>
            <w:r>
              <w:rPr>
                <w:rFonts w:hint="eastAsia"/>
                <w:b/>
                <w:bCs/>
                <w:color w:val="000000" w:themeColor="text1"/>
                <w:sz w:val="21"/>
                <w:szCs w:val="21"/>
              </w:rPr>
              <w:t>主要教学内容</w:t>
            </w:r>
          </w:p>
        </w:tc>
        <w:tc>
          <w:tcPr>
            <w:tcW w:w="1311" w:type="dxa"/>
            <w:vAlign w:val="center"/>
          </w:tcPr>
          <w:p w:rsidR="00D5012D" w:rsidRDefault="00AE7DDB">
            <w:pPr>
              <w:jc w:val="center"/>
              <w:rPr>
                <w:b/>
                <w:bCs/>
                <w:color w:val="000000" w:themeColor="text1"/>
                <w:sz w:val="21"/>
                <w:szCs w:val="21"/>
              </w:rPr>
            </w:pPr>
            <w:r>
              <w:rPr>
                <w:rFonts w:hint="eastAsia"/>
                <w:b/>
                <w:bCs/>
                <w:color w:val="000000" w:themeColor="text1"/>
                <w:sz w:val="21"/>
                <w:szCs w:val="21"/>
              </w:rPr>
              <w:t>指导</w:t>
            </w:r>
          </w:p>
          <w:p w:rsidR="00D5012D" w:rsidRDefault="00AE7DDB">
            <w:pPr>
              <w:jc w:val="center"/>
              <w:rPr>
                <w:b/>
                <w:bCs/>
                <w:color w:val="000000" w:themeColor="text1"/>
                <w:sz w:val="21"/>
                <w:szCs w:val="21"/>
              </w:rPr>
            </w:pPr>
            <w:r>
              <w:rPr>
                <w:rFonts w:hint="eastAsia"/>
                <w:b/>
                <w:bCs/>
                <w:color w:val="000000" w:themeColor="text1"/>
                <w:sz w:val="21"/>
                <w:szCs w:val="21"/>
              </w:rPr>
              <w:t>要求</w:t>
            </w:r>
          </w:p>
        </w:tc>
        <w:tc>
          <w:tcPr>
            <w:tcW w:w="886" w:type="dxa"/>
            <w:vAlign w:val="center"/>
          </w:tcPr>
          <w:p w:rsidR="00D5012D" w:rsidRDefault="00AE7DDB">
            <w:pPr>
              <w:jc w:val="center"/>
              <w:rPr>
                <w:b/>
                <w:bCs/>
                <w:color w:val="000000" w:themeColor="text1"/>
                <w:sz w:val="21"/>
                <w:szCs w:val="21"/>
              </w:rPr>
            </w:pPr>
            <w:r>
              <w:rPr>
                <w:rFonts w:hint="eastAsia"/>
                <w:b/>
                <w:bCs/>
                <w:color w:val="000000" w:themeColor="text1"/>
                <w:sz w:val="21"/>
                <w:szCs w:val="21"/>
              </w:rPr>
              <w:t>支撑课程目标</w:t>
            </w:r>
          </w:p>
        </w:tc>
      </w:tr>
      <w:tr w:rsidR="00D5012D">
        <w:trPr>
          <w:trHeight w:val="340"/>
          <w:jc w:val="center"/>
        </w:trPr>
        <w:tc>
          <w:tcPr>
            <w:tcW w:w="1107" w:type="dxa"/>
            <w:vAlign w:val="center"/>
          </w:tcPr>
          <w:p w:rsidR="00D5012D" w:rsidRDefault="00AE7DDB">
            <w:pPr>
              <w:outlineLvl w:val="0"/>
              <w:rPr>
                <w:color w:val="000000" w:themeColor="text1"/>
                <w:sz w:val="21"/>
                <w:szCs w:val="21"/>
              </w:rPr>
            </w:pPr>
            <w:r>
              <w:rPr>
                <w:rFonts w:hint="eastAsia"/>
                <w:color w:val="000000" w:themeColor="text1"/>
                <w:sz w:val="21"/>
                <w:szCs w:val="21"/>
              </w:rPr>
              <w:t>前期辅导与任务布置</w:t>
            </w:r>
          </w:p>
        </w:tc>
        <w:tc>
          <w:tcPr>
            <w:tcW w:w="709" w:type="dxa"/>
            <w:vAlign w:val="center"/>
          </w:tcPr>
          <w:p w:rsidR="00D5012D" w:rsidRDefault="00AE7DDB">
            <w:pPr>
              <w:jc w:val="center"/>
              <w:rPr>
                <w:color w:val="000000" w:themeColor="text1"/>
                <w:sz w:val="21"/>
                <w:szCs w:val="21"/>
              </w:rPr>
            </w:pPr>
            <w:r>
              <w:rPr>
                <w:rFonts w:hint="eastAsia"/>
                <w:color w:val="000000" w:themeColor="text1"/>
                <w:sz w:val="21"/>
                <w:szCs w:val="21"/>
              </w:rPr>
              <w:t>第一次课</w:t>
            </w:r>
          </w:p>
        </w:tc>
        <w:tc>
          <w:tcPr>
            <w:tcW w:w="4607" w:type="dxa"/>
            <w:vAlign w:val="center"/>
          </w:tcPr>
          <w:p w:rsidR="00D5012D" w:rsidRDefault="00AE7DDB">
            <w:pPr>
              <w:shd w:val="clear" w:color="auto" w:fill="FFFFFF"/>
              <w:spacing w:before="75" w:after="75"/>
              <w:ind w:right="75"/>
              <w:rPr>
                <w:spacing w:val="-1"/>
                <w:sz w:val="21"/>
              </w:rPr>
            </w:pPr>
            <w:r>
              <w:rPr>
                <w:rFonts w:hint="eastAsia"/>
                <w:b/>
                <w:color w:val="000000"/>
                <w:sz w:val="21"/>
                <w:szCs w:val="21"/>
              </w:rPr>
              <w:t>指导</w:t>
            </w:r>
            <w:r>
              <w:rPr>
                <w:b/>
                <w:color w:val="000000"/>
                <w:sz w:val="21"/>
                <w:szCs w:val="21"/>
              </w:rPr>
              <w:t>内容：</w:t>
            </w:r>
            <w:r>
              <w:rPr>
                <w:rFonts w:hint="eastAsia"/>
                <w:spacing w:val="-1"/>
                <w:sz w:val="21"/>
              </w:rPr>
              <w:t>论文的基本要求、类型、选题，常出现的问题，论文的结构，论文绪论的写作：研究背景、目的和意义、国内外研究现状、研究思路与方法，论文结构安排（论文提纲），参考文献</w:t>
            </w:r>
          </w:p>
          <w:p w:rsidR="00D5012D" w:rsidRDefault="00AE7DDB">
            <w:pPr>
              <w:shd w:val="clear" w:color="auto" w:fill="FFFFFF"/>
              <w:spacing w:before="75" w:after="75"/>
              <w:ind w:right="75"/>
              <w:rPr>
                <w:spacing w:val="-1"/>
                <w:sz w:val="21"/>
              </w:rPr>
            </w:pPr>
            <w:r>
              <w:rPr>
                <w:rFonts w:hint="eastAsia"/>
                <w:spacing w:val="-1"/>
                <w:sz w:val="21"/>
              </w:rPr>
              <w:t>以及格式要求等。</w:t>
            </w:r>
          </w:p>
          <w:p w:rsidR="00D5012D" w:rsidRDefault="00AE7DDB">
            <w:pPr>
              <w:shd w:val="clear" w:color="auto" w:fill="FFFFFF"/>
              <w:spacing w:before="75" w:after="75"/>
              <w:ind w:right="75"/>
              <w:rPr>
                <w:spacing w:val="-1"/>
                <w:sz w:val="21"/>
              </w:rPr>
            </w:pPr>
            <w:r>
              <w:rPr>
                <w:b/>
                <w:color w:val="000000"/>
                <w:sz w:val="21"/>
                <w:szCs w:val="21"/>
              </w:rPr>
              <w:t>重点：</w:t>
            </w:r>
            <w:r>
              <w:rPr>
                <w:rFonts w:hint="eastAsia"/>
                <w:spacing w:val="-1"/>
                <w:sz w:val="21"/>
              </w:rPr>
              <w:t>论文的选题，论文提纲，论文摘要和关键词的写作和提出。</w:t>
            </w:r>
          </w:p>
          <w:p w:rsidR="00D5012D" w:rsidRDefault="00AE7DDB">
            <w:pPr>
              <w:shd w:val="clear" w:color="auto" w:fill="FFFFFF"/>
              <w:spacing w:before="75" w:after="75"/>
              <w:ind w:right="75"/>
              <w:rPr>
                <w:b/>
                <w:color w:val="000000"/>
                <w:sz w:val="21"/>
                <w:szCs w:val="21"/>
              </w:rPr>
            </w:pPr>
            <w:r>
              <w:rPr>
                <w:b/>
                <w:color w:val="000000"/>
                <w:sz w:val="21"/>
                <w:szCs w:val="21"/>
              </w:rPr>
              <w:t>难点：</w:t>
            </w:r>
            <w:r>
              <w:rPr>
                <w:rFonts w:hint="eastAsia"/>
                <w:spacing w:val="-1"/>
                <w:sz w:val="21"/>
              </w:rPr>
              <w:t>如何从工商管理的专业视角去发现商业实践问题，拟定恰当的题目；论文的研究思路和结构安排。</w:t>
            </w:r>
          </w:p>
        </w:tc>
        <w:tc>
          <w:tcPr>
            <w:tcW w:w="1311" w:type="dxa"/>
            <w:vAlign w:val="center"/>
          </w:tcPr>
          <w:p w:rsidR="00D5012D" w:rsidRDefault="00AE7DDB">
            <w:pPr>
              <w:rPr>
                <w:color w:val="000000" w:themeColor="text1"/>
                <w:sz w:val="21"/>
                <w:szCs w:val="21"/>
              </w:rPr>
            </w:pPr>
            <w:r>
              <w:rPr>
                <w:spacing w:val="-1"/>
                <w:sz w:val="21"/>
              </w:rPr>
              <w:t>启发、讨论、案例分析等多种教学方式，以多媒体为主要教学手段</w:t>
            </w:r>
            <w:r>
              <w:rPr>
                <w:rFonts w:hint="eastAsia"/>
                <w:spacing w:val="-1"/>
                <w:sz w:val="21"/>
              </w:rPr>
              <w:t>。</w:t>
            </w:r>
          </w:p>
        </w:tc>
        <w:tc>
          <w:tcPr>
            <w:tcW w:w="886" w:type="dxa"/>
            <w:vAlign w:val="center"/>
          </w:tcPr>
          <w:p w:rsidR="00D5012D" w:rsidRDefault="00AE7DDB">
            <w:pPr>
              <w:rPr>
                <w:color w:val="000000" w:themeColor="text1"/>
                <w:sz w:val="21"/>
                <w:szCs w:val="21"/>
              </w:rPr>
            </w:pPr>
            <w:r>
              <w:rPr>
                <w:rFonts w:hint="eastAsia"/>
                <w:color w:val="000000" w:themeColor="text1"/>
                <w:sz w:val="21"/>
                <w:szCs w:val="21"/>
              </w:rPr>
              <w:t>目标1</w:t>
            </w:r>
          </w:p>
          <w:p w:rsidR="00D5012D" w:rsidRDefault="00AE7DDB">
            <w:pPr>
              <w:rPr>
                <w:color w:val="000000" w:themeColor="text1"/>
                <w:sz w:val="21"/>
                <w:szCs w:val="21"/>
              </w:rPr>
            </w:pPr>
            <w:r>
              <w:rPr>
                <w:rFonts w:hint="eastAsia"/>
                <w:color w:val="000000" w:themeColor="text1"/>
                <w:sz w:val="21"/>
                <w:szCs w:val="21"/>
              </w:rPr>
              <w:t>目标2</w:t>
            </w:r>
          </w:p>
        </w:tc>
      </w:tr>
      <w:tr w:rsidR="00D5012D">
        <w:trPr>
          <w:trHeight w:val="340"/>
          <w:jc w:val="center"/>
        </w:trPr>
        <w:tc>
          <w:tcPr>
            <w:tcW w:w="1107" w:type="dxa"/>
            <w:vAlign w:val="center"/>
          </w:tcPr>
          <w:p w:rsidR="00D5012D" w:rsidRDefault="00AE7DDB">
            <w:pPr>
              <w:outlineLvl w:val="0"/>
              <w:rPr>
                <w:color w:val="000000" w:themeColor="text1"/>
                <w:sz w:val="21"/>
                <w:szCs w:val="21"/>
              </w:rPr>
            </w:pPr>
            <w:r>
              <w:rPr>
                <w:rFonts w:hint="eastAsia"/>
                <w:color w:val="000000" w:themeColor="text1"/>
                <w:sz w:val="21"/>
                <w:szCs w:val="21"/>
              </w:rPr>
              <w:t>中期指导</w:t>
            </w:r>
          </w:p>
        </w:tc>
        <w:tc>
          <w:tcPr>
            <w:tcW w:w="709" w:type="dxa"/>
            <w:vAlign w:val="center"/>
          </w:tcPr>
          <w:p w:rsidR="00D5012D" w:rsidRDefault="00AE7DDB">
            <w:pPr>
              <w:jc w:val="center"/>
              <w:rPr>
                <w:color w:val="000000" w:themeColor="text1"/>
                <w:sz w:val="21"/>
                <w:szCs w:val="21"/>
              </w:rPr>
            </w:pPr>
            <w:r>
              <w:rPr>
                <w:rFonts w:hint="eastAsia"/>
                <w:color w:val="000000" w:themeColor="text1"/>
                <w:sz w:val="21"/>
                <w:szCs w:val="21"/>
              </w:rPr>
              <w:t>第二次课</w:t>
            </w:r>
          </w:p>
        </w:tc>
        <w:tc>
          <w:tcPr>
            <w:tcW w:w="4607" w:type="dxa"/>
            <w:vAlign w:val="center"/>
          </w:tcPr>
          <w:p w:rsidR="00D5012D" w:rsidRDefault="00AE7DDB">
            <w:pPr>
              <w:shd w:val="clear" w:color="auto" w:fill="FFFFFF"/>
              <w:adjustRightInd w:val="0"/>
              <w:spacing w:before="75" w:after="75"/>
              <w:ind w:right="75"/>
              <w:rPr>
                <w:spacing w:val="-1"/>
                <w:sz w:val="21"/>
              </w:rPr>
            </w:pPr>
            <w:r>
              <w:rPr>
                <w:rFonts w:hint="eastAsia"/>
                <w:b/>
                <w:color w:val="000000"/>
                <w:sz w:val="21"/>
                <w:szCs w:val="21"/>
              </w:rPr>
              <w:t>指导</w:t>
            </w:r>
            <w:r>
              <w:rPr>
                <w:b/>
                <w:color w:val="000000"/>
                <w:sz w:val="21"/>
                <w:szCs w:val="21"/>
              </w:rPr>
              <w:t>内容：</w:t>
            </w:r>
            <w:r>
              <w:rPr>
                <w:rFonts w:hint="eastAsia"/>
                <w:spacing w:val="-1"/>
                <w:sz w:val="21"/>
              </w:rPr>
              <w:t>文章的观点、结构及层次处理；文章的逻辑性、严谨性与科学性分析；论文规范检查；学生相互交换各自所写的文章进行审阅，提出修改意见。</w:t>
            </w:r>
          </w:p>
          <w:p w:rsidR="00D5012D" w:rsidRDefault="00AE7DDB">
            <w:pPr>
              <w:shd w:val="clear" w:color="auto" w:fill="FFFFFF"/>
              <w:adjustRightInd w:val="0"/>
              <w:spacing w:before="75" w:after="75"/>
              <w:ind w:right="75"/>
              <w:rPr>
                <w:spacing w:val="-1"/>
                <w:sz w:val="21"/>
              </w:rPr>
            </w:pPr>
            <w:r>
              <w:rPr>
                <w:b/>
                <w:bCs/>
                <w:szCs w:val="21"/>
              </w:rPr>
              <w:t>重点：</w:t>
            </w:r>
            <w:r>
              <w:rPr>
                <w:rFonts w:hint="eastAsia"/>
                <w:spacing w:val="-1"/>
                <w:sz w:val="21"/>
              </w:rPr>
              <w:t>文章的逻辑性、严谨性与科学性分析及操作。</w:t>
            </w:r>
          </w:p>
          <w:p w:rsidR="00D5012D" w:rsidRDefault="00AE7DDB">
            <w:pPr>
              <w:shd w:val="clear" w:color="auto" w:fill="FFFFFF"/>
              <w:adjustRightInd w:val="0"/>
              <w:spacing w:before="75" w:after="75"/>
              <w:ind w:right="75"/>
              <w:rPr>
                <w:spacing w:val="-1"/>
                <w:sz w:val="21"/>
              </w:rPr>
            </w:pPr>
            <w:r>
              <w:rPr>
                <w:b/>
                <w:bCs/>
                <w:szCs w:val="21"/>
              </w:rPr>
              <w:t>难点：</w:t>
            </w:r>
            <w:r>
              <w:rPr>
                <w:rFonts w:hint="eastAsia"/>
                <w:spacing w:val="-1"/>
                <w:sz w:val="21"/>
              </w:rPr>
              <w:t>及时收集和整理学生写作及审阅中存在的有代表性的问题并予以纠正。</w:t>
            </w:r>
          </w:p>
          <w:p w:rsidR="00D5012D" w:rsidRDefault="00AE7DDB">
            <w:pPr>
              <w:shd w:val="clear" w:color="auto" w:fill="FFFFFF"/>
              <w:adjustRightInd w:val="0"/>
              <w:spacing w:before="75" w:after="75"/>
              <w:ind w:right="75"/>
              <w:rPr>
                <w:b/>
                <w:color w:val="000000"/>
                <w:sz w:val="21"/>
                <w:szCs w:val="21"/>
              </w:rPr>
            </w:pPr>
            <w:proofErr w:type="gramStart"/>
            <w:r>
              <w:rPr>
                <w:rFonts w:hint="eastAsia"/>
                <w:b/>
                <w:color w:val="000000"/>
                <w:sz w:val="21"/>
                <w:szCs w:val="21"/>
              </w:rPr>
              <w:t>思政元素</w:t>
            </w:r>
            <w:proofErr w:type="gramEnd"/>
            <w:r>
              <w:rPr>
                <w:rFonts w:hint="eastAsia"/>
                <w:b/>
                <w:color w:val="000000"/>
                <w:sz w:val="21"/>
                <w:szCs w:val="21"/>
              </w:rPr>
              <w:t>：</w:t>
            </w:r>
            <w:r>
              <w:rPr>
                <w:rFonts w:hint="eastAsia"/>
                <w:spacing w:val="-1"/>
                <w:sz w:val="21"/>
              </w:rPr>
              <w:t>培养学生团队意识、合作精神，培养学生敢于面对挫折，追求不断进步的能力。</w:t>
            </w:r>
          </w:p>
        </w:tc>
        <w:tc>
          <w:tcPr>
            <w:tcW w:w="1311" w:type="dxa"/>
            <w:vAlign w:val="center"/>
          </w:tcPr>
          <w:p w:rsidR="00D5012D" w:rsidRDefault="00AE7DDB">
            <w:pPr>
              <w:shd w:val="clear" w:color="auto" w:fill="FFFFFF"/>
              <w:spacing w:before="75" w:after="75"/>
              <w:ind w:right="75"/>
              <w:rPr>
                <w:color w:val="000000"/>
                <w:sz w:val="21"/>
                <w:szCs w:val="21"/>
              </w:rPr>
            </w:pPr>
            <w:r>
              <w:rPr>
                <w:rFonts w:hint="eastAsia"/>
                <w:spacing w:val="-1"/>
                <w:sz w:val="21"/>
              </w:rPr>
              <w:t>学生交互审阅并选出代表点评，教师对普遍性问题予以纠正。</w:t>
            </w:r>
          </w:p>
        </w:tc>
        <w:tc>
          <w:tcPr>
            <w:tcW w:w="886" w:type="dxa"/>
            <w:vAlign w:val="center"/>
          </w:tcPr>
          <w:p w:rsidR="00D5012D" w:rsidRDefault="00AE7DDB">
            <w:pPr>
              <w:rPr>
                <w:color w:val="000000" w:themeColor="text1"/>
                <w:sz w:val="21"/>
                <w:szCs w:val="21"/>
              </w:rPr>
            </w:pPr>
            <w:r>
              <w:rPr>
                <w:rFonts w:hint="eastAsia"/>
                <w:color w:val="000000" w:themeColor="text1"/>
                <w:sz w:val="21"/>
                <w:szCs w:val="21"/>
              </w:rPr>
              <w:t>目标1</w:t>
            </w:r>
          </w:p>
          <w:p w:rsidR="00D5012D" w:rsidRDefault="00AE7DDB">
            <w:pPr>
              <w:shd w:val="clear" w:color="auto" w:fill="FFFFFF"/>
              <w:spacing w:before="75" w:after="75"/>
              <w:ind w:right="75"/>
              <w:rPr>
                <w:color w:val="000000" w:themeColor="text1"/>
                <w:sz w:val="21"/>
                <w:szCs w:val="21"/>
              </w:rPr>
            </w:pPr>
            <w:r>
              <w:rPr>
                <w:rFonts w:hint="eastAsia"/>
                <w:color w:val="000000" w:themeColor="text1"/>
                <w:sz w:val="21"/>
                <w:szCs w:val="21"/>
              </w:rPr>
              <w:t>目标2</w:t>
            </w:r>
          </w:p>
          <w:p w:rsidR="00D5012D" w:rsidRDefault="00AE7DDB">
            <w:pPr>
              <w:shd w:val="clear" w:color="auto" w:fill="FFFFFF"/>
              <w:spacing w:before="75" w:after="75"/>
              <w:ind w:right="75"/>
              <w:rPr>
                <w:color w:val="000000" w:themeColor="text1"/>
                <w:sz w:val="21"/>
                <w:szCs w:val="21"/>
              </w:rPr>
            </w:pPr>
            <w:r>
              <w:rPr>
                <w:rFonts w:hint="eastAsia"/>
                <w:color w:val="000000" w:themeColor="text1"/>
                <w:sz w:val="21"/>
                <w:szCs w:val="21"/>
              </w:rPr>
              <w:t>目标3</w:t>
            </w:r>
          </w:p>
        </w:tc>
      </w:tr>
      <w:tr w:rsidR="00D5012D">
        <w:trPr>
          <w:trHeight w:val="966"/>
          <w:jc w:val="center"/>
        </w:trPr>
        <w:tc>
          <w:tcPr>
            <w:tcW w:w="1107" w:type="dxa"/>
            <w:vAlign w:val="center"/>
          </w:tcPr>
          <w:p w:rsidR="00D5012D" w:rsidRDefault="00AE7DDB">
            <w:pPr>
              <w:outlineLvl w:val="0"/>
              <w:rPr>
                <w:color w:val="000000" w:themeColor="text1"/>
                <w:sz w:val="21"/>
                <w:szCs w:val="21"/>
              </w:rPr>
            </w:pPr>
            <w:r>
              <w:rPr>
                <w:rFonts w:hint="eastAsia"/>
                <w:color w:val="000000" w:themeColor="text1"/>
                <w:sz w:val="21"/>
                <w:szCs w:val="21"/>
              </w:rPr>
              <w:t>课程总结</w:t>
            </w:r>
          </w:p>
        </w:tc>
        <w:tc>
          <w:tcPr>
            <w:tcW w:w="709" w:type="dxa"/>
            <w:vAlign w:val="center"/>
          </w:tcPr>
          <w:p w:rsidR="00D5012D" w:rsidRDefault="00AE7DDB">
            <w:pPr>
              <w:jc w:val="center"/>
              <w:rPr>
                <w:color w:val="000000" w:themeColor="text1"/>
                <w:sz w:val="21"/>
                <w:szCs w:val="21"/>
              </w:rPr>
            </w:pPr>
            <w:r>
              <w:rPr>
                <w:rFonts w:hint="eastAsia"/>
                <w:color w:val="000000" w:themeColor="text1"/>
                <w:sz w:val="21"/>
                <w:szCs w:val="21"/>
              </w:rPr>
              <w:t>第三次课</w:t>
            </w:r>
          </w:p>
        </w:tc>
        <w:tc>
          <w:tcPr>
            <w:tcW w:w="4607" w:type="dxa"/>
            <w:vAlign w:val="center"/>
          </w:tcPr>
          <w:p w:rsidR="00D5012D" w:rsidRDefault="00AE7DDB">
            <w:pPr>
              <w:shd w:val="clear" w:color="auto" w:fill="FFFFFF"/>
              <w:adjustRightInd w:val="0"/>
              <w:spacing w:before="75" w:after="75"/>
              <w:ind w:right="75"/>
              <w:rPr>
                <w:spacing w:val="-1"/>
                <w:sz w:val="21"/>
              </w:rPr>
            </w:pPr>
            <w:r>
              <w:rPr>
                <w:rFonts w:hint="eastAsia"/>
                <w:b/>
                <w:bCs/>
                <w:szCs w:val="21"/>
              </w:rPr>
              <w:t>指导</w:t>
            </w:r>
            <w:r>
              <w:rPr>
                <w:b/>
                <w:bCs/>
                <w:szCs w:val="21"/>
              </w:rPr>
              <w:t>内容：</w:t>
            </w:r>
            <w:r>
              <w:rPr>
                <w:rFonts w:hint="eastAsia"/>
                <w:spacing w:val="-1"/>
                <w:sz w:val="21"/>
              </w:rPr>
              <w:t xml:space="preserve">文章写作中存在的主要问题及分析；代表性文章点评；范文分析。 </w:t>
            </w:r>
          </w:p>
          <w:p w:rsidR="00D5012D" w:rsidRDefault="00AE7DDB">
            <w:pPr>
              <w:shd w:val="clear" w:color="auto" w:fill="FFFFFF"/>
              <w:adjustRightInd w:val="0"/>
              <w:spacing w:before="75" w:after="75"/>
              <w:ind w:right="75"/>
              <w:rPr>
                <w:spacing w:val="-1"/>
                <w:sz w:val="21"/>
              </w:rPr>
            </w:pPr>
            <w:r>
              <w:rPr>
                <w:rFonts w:hint="eastAsia"/>
                <w:b/>
                <w:bCs/>
                <w:szCs w:val="21"/>
              </w:rPr>
              <w:t>重点</w:t>
            </w:r>
            <w:r>
              <w:rPr>
                <w:b/>
                <w:bCs/>
                <w:szCs w:val="21"/>
              </w:rPr>
              <w:t>：</w:t>
            </w:r>
            <w:r>
              <w:rPr>
                <w:rFonts w:hint="eastAsia"/>
                <w:spacing w:val="-1"/>
                <w:sz w:val="21"/>
              </w:rPr>
              <w:t>问题分析及代表性文章点评。</w:t>
            </w:r>
          </w:p>
          <w:p w:rsidR="00D5012D" w:rsidRDefault="00AE7DDB">
            <w:pPr>
              <w:shd w:val="clear" w:color="auto" w:fill="FFFFFF"/>
              <w:spacing w:before="75" w:after="75"/>
              <w:ind w:right="75"/>
              <w:rPr>
                <w:b/>
                <w:color w:val="000000"/>
                <w:sz w:val="21"/>
                <w:szCs w:val="21"/>
              </w:rPr>
            </w:pPr>
            <w:r>
              <w:rPr>
                <w:rFonts w:hint="eastAsia"/>
                <w:b/>
                <w:color w:val="000000"/>
                <w:sz w:val="21"/>
                <w:szCs w:val="21"/>
              </w:rPr>
              <w:t>难点：</w:t>
            </w:r>
            <w:r>
              <w:rPr>
                <w:rFonts w:hint="eastAsia"/>
                <w:spacing w:val="-1"/>
                <w:sz w:val="21"/>
              </w:rPr>
              <w:t>问题的提炼是否到位；问题的分析是否中肯；点评文章是否具有代表性。</w:t>
            </w:r>
          </w:p>
        </w:tc>
        <w:tc>
          <w:tcPr>
            <w:tcW w:w="1311" w:type="dxa"/>
            <w:vAlign w:val="center"/>
          </w:tcPr>
          <w:p w:rsidR="00D5012D" w:rsidRDefault="00AE7DDB">
            <w:pPr>
              <w:shd w:val="clear" w:color="auto" w:fill="FFFFFF"/>
              <w:spacing w:before="75" w:after="75"/>
              <w:ind w:right="75"/>
              <w:rPr>
                <w:color w:val="000000"/>
                <w:sz w:val="21"/>
                <w:szCs w:val="21"/>
              </w:rPr>
            </w:pPr>
            <w:r>
              <w:rPr>
                <w:spacing w:val="-1"/>
                <w:sz w:val="21"/>
              </w:rPr>
              <w:t>启发、讨论、案例分析等多种教学方式，以多媒体为主要教学手段</w:t>
            </w:r>
            <w:r>
              <w:rPr>
                <w:rFonts w:hint="eastAsia"/>
                <w:spacing w:val="-1"/>
                <w:sz w:val="21"/>
              </w:rPr>
              <w:t>。</w:t>
            </w:r>
          </w:p>
        </w:tc>
        <w:tc>
          <w:tcPr>
            <w:tcW w:w="886" w:type="dxa"/>
            <w:vAlign w:val="center"/>
          </w:tcPr>
          <w:p w:rsidR="00D5012D" w:rsidRDefault="00AE7DDB">
            <w:pPr>
              <w:rPr>
                <w:color w:val="000000" w:themeColor="text1"/>
                <w:sz w:val="21"/>
                <w:szCs w:val="21"/>
              </w:rPr>
            </w:pPr>
            <w:r>
              <w:rPr>
                <w:rFonts w:hint="eastAsia"/>
                <w:color w:val="000000" w:themeColor="text1"/>
                <w:sz w:val="21"/>
                <w:szCs w:val="21"/>
              </w:rPr>
              <w:t>目标1</w:t>
            </w:r>
          </w:p>
          <w:p w:rsidR="00D5012D" w:rsidRDefault="00AE7DDB">
            <w:pPr>
              <w:shd w:val="clear" w:color="auto" w:fill="FFFFFF"/>
              <w:spacing w:before="75" w:after="75"/>
              <w:ind w:right="75"/>
              <w:rPr>
                <w:color w:val="000000" w:themeColor="text1"/>
                <w:sz w:val="21"/>
                <w:szCs w:val="21"/>
              </w:rPr>
            </w:pPr>
            <w:r>
              <w:rPr>
                <w:rFonts w:hint="eastAsia"/>
                <w:color w:val="000000" w:themeColor="text1"/>
                <w:sz w:val="21"/>
                <w:szCs w:val="21"/>
              </w:rPr>
              <w:t>目标2</w:t>
            </w:r>
          </w:p>
          <w:p w:rsidR="00D5012D" w:rsidRDefault="00AE7DDB">
            <w:pPr>
              <w:shd w:val="clear" w:color="auto" w:fill="FFFFFF"/>
              <w:spacing w:before="75" w:after="75"/>
              <w:ind w:right="75"/>
              <w:rPr>
                <w:color w:val="000000"/>
                <w:sz w:val="21"/>
                <w:szCs w:val="21"/>
              </w:rPr>
            </w:pPr>
            <w:r>
              <w:rPr>
                <w:rFonts w:hint="eastAsia"/>
                <w:color w:val="000000" w:themeColor="text1"/>
                <w:sz w:val="21"/>
                <w:szCs w:val="21"/>
              </w:rPr>
              <w:t>目标3</w:t>
            </w:r>
          </w:p>
        </w:tc>
      </w:tr>
    </w:tbl>
    <w:p w:rsidR="00D5012D" w:rsidRDefault="00D5012D">
      <w:pPr>
        <w:ind w:firstLineChars="200" w:firstLine="562"/>
        <w:rPr>
          <w:rFonts w:ascii="Times New Roman" w:cs="Times New Roman"/>
          <w:b/>
          <w:color w:val="000000" w:themeColor="text1"/>
          <w:sz w:val="28"/>
          <w:szCs w:val="28"/>
        </w:rPr>
      </w:pPr>
    </w:p>
    <w:p w:rsidR="00D5012D" w:rsidRDefault="00AE7DDB">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D5012D" w:rsidRDefault="00AE7DDB">
      <w:pPr>
        <w:spacing w:line="360" w:lineRule="auto"/>
        <w:ind w:firstLineChars="250" w:firstLine="525"/>
        <w:rPr>
          <w:sz w:val="21"/>
          <w:szCs w:val="21"/>
        </w:rPr>
      </w:pPr>
      <w:r>
        <w:rPr>
          <w:rFonts w:hint="eastAsia"/>
          <w:sz w:val="21"/>
          <w:szCs w:val="21"/>
        </w:rPr>
        <w:t>1.毕业论文（设计）的综合成绩由</w:t>
      </w:r>
      <w:r>
        <w:rPr>
          <w:rFonts w:asciiTheme="minorEastAsia" w:eastAsiaTheme="minorEastAsia" w:hAnsiTheme="minorEastAsia" w:cs="Times New Roman" w:hint="eastAsia"/>
          <w:color w:val="000000" w:themeColor="text1"/>
          <w:sz w:val="21"/>
          <w:szCs w:val="21"/>
        </w:rPr>
        <w:t>平时成绩分：作业（占15%）、互动（占10%）和考勤（占5%）三个部分，</w:t>
      </w:r>
      <w:r>
        <w:rPr>
          <w:rFonts w:hint="eastAsia"/>
          <w:sz w:val="21"/>
          <w:szCs w:val="21"/>
        </w:rPr>
        <w:t>指导教师评阅成绩（占70%）两部分组成。</w:t>
      </w:r>
    </w:p>
    <w:p w:rsidR="00D5012D" w:rsidRDefault="00AE7DDB">
      <w:pPr>
        <w:spacing w:line="360" w:lineRule="auto"/>
        <w:ind w:firstLineChars="250" w:firstLine="525"/>
        <w:rPr>
          <w:sz w:val="21"/>
          <w:szCs w:val="21"/>
        </w:rPr>
      </w:pPr>
      <w:r>
        <w:rPr>
          <w:rFonts w:hint="eastAsia"/>
          <w:sz w:val="21"/>
          <w:szCs w:val="21"/>
        </w:rPr>
        <w:t>2.综合成绩按五级记分制提交，即优秀（90-100）、良好（80-89）、中等（70-79）、</w:t>
      </w:r>
      <w:r>
        <w:rPr>
          <w:rFonts w:hint="eastAsia"/>
          <w:sz w:val="21"/>
          <w:szCs w:val="21"/>
        </w:rPr>
        <w:lastRenderedPageBreak/>
        <w:t>及格（60-69）、不及格（59分以下）。</w:t>
      </w:r>
    </w:p>
    <w:tbl>
      <w:tblPr>
        <w:tblStyle w:val="a5"/>
        <w:tblW w:w="8631" w:type="dxa"/>
        <w:jc w:val="center"/>
        <w:tblBorders>
          <w:top w:val="single" w:sz="12" w:space="0" w:color="auto"/>
          <w:left w:val="single" w:sz="12" w:space="0" w:color="auto"/>
          <w:bottom w:val="single" w:sz="12" w:space="0" w:color="auto"/>
          <w:right w:val="single" w:sz="12" w:space="0" w:color="auto"/>
        </w:tblBorders>
        <w:tblLook w:val="04A0"/>
      </w:tblPr>
      <w:tblGrid>
        <w:gridCol w:w="1276"/>
        <w:gridCol w:w="7355"/>
      </w:tblGrid>
      <w:tr w:rsidR="00D5012D">
        <w:trPr>
          <w:trHeight w:val="351"/>
          <w:jc w:val="center"/>
        </w:trPr>
        <w:tc>
          <w:tcPr>
            <w:tcW w:w="1276" w:type="dxa"/>
            <w:vMerge w:val="restart"/>
            <w:vAlign w:val="center"/>
          </w:tcPr>
          <w:p w:rsidR="00D5012D" w:rsidRDefault="00AE7DDB">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355" w:type="dxa"/>
            <w:vAlign w:val="center"/>
          </w:tcPr>
          <w:p w:rsidR="00D5012D" w:rsidRDefault="00AE7DDB">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D5012D">
        <w:trPr>
          <w:trHeight w:val="382"/>
          <w:jc w:val="center"/>
        </w:trPr>
        <w:tc>
          <w:tcPr>
            <w:tcW w:w="1276" w:type="dxa"/>
            <w:vMerge/>
            <w:vAlign w:val="center"/>
          </w:tcPr>
          <w:p w:rsidR="00D5012D" w:rsidRDefault="00D5012D">
            <w:pPr>
              <w:rPr>
                <w:rFonts w:ascii="Times New Roman" w:cs="Times New Roman"/>
                <w:b/>
                <w:color w:val="000000" w:themeColor="text1"/>
                <w:sz w:val="21"/>
                <w:szCs w:val="21"/>
              </w:rPr>
            </w:pPr>
          </w:p>
        </w:tc>
        <w:tc>
          <w:tcPr>
            <w:tcW w:w="7355" w:type="dxa"/>
            <w:vAlign w:val="center"/>
          </w:tcPr>
          <w:p w:rsidR="00D5012D" w:rsidRDefault="00AE7DDB">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平时成绩；</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学年论文成绩。</w:t>
            </w:r>
          </w:p>
        </w:tc>
      </w:tr>
      <w:tr w:rsidR="00D5012D">
        <w:trPr>
          <w:jc w:val="center"/>
        </w:trPr>
        <w:tc>
          <w:tcPr>
            <w:tcW w:w="1276" w:type="dxa"/>
          </w:tcPr>
          <w:p w:rsidR="00D5012D" w:rsidRDefault="00AE7DDB">
            <w:pPr>
              <w:spacing w:line="329" w:lineRule="exact"/>
              <w:jc w:val="center"/>
              <w:rPr>
                <w:color w:val="333333"/>
                <w:sz w:val="21"/>
                <w:szCs w:val="21"/>
              </w:rPr>
            </w:pPr>
            <w:r>
              <w:rPr>
                <w:color w:val="333333"/>
                <w:sz w:val="21"/>
                <w:szCs w:val="21"/>
              </w:rPr>
              <w:t>优秀</w:t>
            </w:r>
          </w:p>
          <w:p w:rsidR="00D5012D" w:rsidRDefault="00AE7DDB">
            <w:pPr>
              <w:spacing w:line="329" w:lineRule="exact"/>
              <w:jc w:val="center"/>
              <w:rPr>
                <w:color w:val="333333"/>
                <w:sz w:val="21"/>
                <w:szCs w:val="21"/>
              </w:rPr>
            </w:pPr>
            <w:r>
              <w:rPr>
                <w:color w:val="333333"/>
                <w:sz w:val="21"/>
                <w:szCs w:val="21"/>
              </w:rPr>
              <w:t>（90～100分）</w:t>
            </w:r>
          </w:p>
        </w:tc>
        <w:tc>
          <w:tcPr>
            <w:tcW w:w="7355" w:type="dxa"/>
          </w:tcPr>
          <w:p w:rsidR="00D5012D" w:rsidRDefault="00AE7DDB">
            <w:pPr>
              <w:spacing w:line="280" w:lineRule="exact"/>
              <w:rPr>
                <w:color w:val="333333"/>
                <w:sz w:val="21"/>
                <w:szCs w:val="21"/>
              </w:rPr>
            </w:pPr>
            <w:r>
              <w:rPr>
                <w:rFonts w:hint="eastAsia"/>
                <w:color w:val="333333"/>
                <w:sz w:val="21"/>
                <w:szCs w:val="21"/>
              </w:rPr>
              <w:t>1.学年论文书写工整、书面整洁。</w:t>
            </w:r>
          </w:p>
          <w:p w:rsidR="00D5012D" w:rsidRDefault="00AE7DDB">
            <w:pPr>
              <w:spacing w:line="280" w:lineRule="exact"/>
              <w:rPr>
                <w:color w:val="333333"/>
                <w:sz w:val="21"/>
                <w:szCs w:val="21"/>
              </w:rPr>
            </w:pPr>
            <w:r>
              <w:rPr>
                <w:rFonts w:hint="eastAsia"/>
                <w:color w:val="333333"/>
                <w:sz w:val="21"/>
                <w:szCs w:val="21"/>
              </w:rPr>
              <w:t>2.文章的观点具有很强的创新性，写作规范，结构及层次合理，逻辑性强，很好地达到学年论文的写作要求。</w:t>
            </w:r>
          </w:p>
          <w:p w:rsidR="00D5012D" w:rsidRDefault="00AE7DDB">
            <w:pPr>
              <w:spacing w:line="280" w:lineRule="exact"/>
              <w:rPr>
                <w:rFonts w:cs="Times New Roman"/>
                <w:color w:val="000000" w:themeColor="text1"/>
                <w:sz w:val="21"/>
                <w:szCs w:val="21"/>
              </w:rPr>
            </w:pPr>
            <w:r>
              <w:rPr>
                <w:rFonts w:hint="eastAsia"/>
                <w:color w:val="333333"/>
                <w:sz w:val="21"/>
                <w:szCs w:val="21"/>
              </w:rPr>
              <w:t>3.全过程参与课程学习，每次作业都完成，课程讨论积极参与，且作业成绩在90分以上。</w:t>
            </w:r>
          </w:p>
        </w:tc>
      </w:tr>
      <w:tr w:rsidR="00D5012D">
        <w:trPr>
          <w:trHeight w:val="898"/>
          <w:jc w:val="center"/>
        </w:trPr>
        <w:tc>
          <w:tcPr>
            <w:tcW w:w="1276" w:type="dxa"/>
          </w:tcPr>
          <w:p w:rsidR="00D5012D" w:rsidRDefault="00AE7DDB">
            <w:pPr>
              <w:spacing w:line="376" w:lineRule="exact"/>
              <w:jc w:val="center"/>
              <w:rPr>
                <w:color w:val="333333"/>
                <w:sz w:val="21"/>
                <w:szCs w:val="21"/>
              </w:rPr>
            </w:pPr>
            <w:r>
              <w:rPr>
                <w:color w:val="333333"/>
                <w:sz w:val="21"/>
                <w:szCs w:val="21"/>
              </w:rPr>
              <w:t>良好</w:t>
            </w:r>
          </w:p>
          <w:p w:rsidR="00D5012D" w:rsidRDefault="00AE7DDB">
            <w:pPr>
              <w:spacing w:line="376" w:lineRule="exact"/>
              <w:jc w:val="center"/>
              <w:rPr>
                <w:color w:val="333333"/>
                <w:sz w:val="21"/>
                <w:szCs w:val="21"/>
              </w:rPr>
            </w:pPr>
            <w:r>
              <w:rPr>
                <w:color w:val="333333"/>
                <w:sz w:val="21"/>
                <w:szCs w:val="21"/>
              </w:rPr>
              <w:t>（80～89分）</w:t>
            </w:r>
          </w:p>
        </w:tc>
        <w:tc>
          <w:tcPr>
            <w:tcW w:w="7355" w:type="dxa"/>
          </w:tcPr>
          <w:p w:rsidR="00D5012D" w:rsidRDefault="00AE7DDB">
            <w:pPr>
              <w:spacing w:line="280" w:lineRule="exact"/>
              <w:rPr>
                <w:color w:val="333333"/>
                <w:sz w:val="21"/>
                <w:szCs w:val="21"/>
              </w:rPr>
            </w:pPr>
            <w:r>
              <w:rPr>
                <w:rFonts w:hint="eastAsia"/>
                <w:color w:val="333333"/>
                <w:sz w:val="21"/>
                <w:szCs w:val="21"/>
              </w:rPr>
              <w:t>1.学年论文书写工整、书面整洁。</w:t>
            </w:r>
          </w:p>
          <w:p w:rsidR="00D5012D" w:rsidRDefault="00AE7DDB">
            <w:pPr>
              <w:spacing w:line="280" w:lineRule="exact"/>
              <w:rPr>
                <w:color w:val="333333"/>
                <w:sz w:val="21"/>
                <w:szCs w:val="21"/>
              </w:rPr>
            </w:pPr>
            <w:r>
              <w:rPr>
                <w:rFonts w:hint="eastAsia"/>
                <w:color w:val="333333"/>
                <w:sz w:val="21"/>
                <w:szCs w:val="21"/>
              </w:rPr>
              <w:t>2.文章的观点具有一定的创新性，写作规范，结构及层次合理，逻辑性较强，达到学年论文的写作要求。</w:t>
            </w:r>
          </w:p>
          <w:p w:rsidR="00D5012D" w:rsidRDefault="00AE7DDB">
            <w:pPr>
              <w:spacing w:line="280" w:lineRule="exact"/>
              <w:rPr>
                <w:color w:val="333333"/>
                <w:sz w:val="21"/>
                <w:szCs w:val="21"/>
              </w:rPr>
            </w:pPr>
            <w:r>
              <w:rPr>
                <w:rFonts w:hint="eastAsia"/>
                <w:color w:val="333333"/>
                <w:sz w:val="21"/>
                <w:szCs w:val="21"/>
              </w:rPr>
              <w:t>3.全过程参与课程学习，每次作业都完成，课程讨论积极参与，且作业成绩在80分以上。</w:t>
            </w:r>
          </w:p>
        </w:tc>
      </w:tr>
      <w:tr w:rsidR="00D5012D">
        <w:trPr>
          <w:jc w:val="center"/>
        </w:trPr>
        <w:tc>
          <w:tcPr>
            <w:tcW w:w="1276" w:type="dxa"/>
          </w:tcPr>
          <w:p w:rsidR="00D5012D" w:rsidRDefault="00AE7DDB">
            <w:pPr>
              <w:spacing w:line="386" w:lineRule="exact"/>
              <w:jc w:val="center"/>
              <w:rPr>
                <w:color w:val="333333"/>
                <w:sz w:val="21"/>
                <w:szCs w:val="21"/>
              </w:rPr>
            </w:pPr>
            <w:r>
              <w:rPr>
                <w:color w:val="333333"/>
                <w:sz w:val="21"/>
                <w:szCs w:val="21"/>
              </w:rPr>
              <w:t>中等</w:t>
            </w:r>
          </w:p>
          <w:p w:rsidR="00D5012D" w:rsidRDefault="00AE7DDB">
            <w:pPr>
              <w:spacing w:line="386" w:lineRule="exact"/>
              <w:jc w:val="center"/>
              <w:rPr>
                <w:color w:val="333333"/>
                <w:sz w:val="21"/>
                <w:szCs w:val="21"/>
              </w:rPr>
            </w:pPr>
            <w:r>
              <w:rPr>
                <w:color w:val="333333"/>
                <w:sz w:val="21"/>
                <w:szCs w:val="21"/>
              </w:rPr>
              <w:t>（70～79分）</w:t>
            </w:r>
          </w:p>
        </w:tc>
        <w:tc>
          <w:tcPr>
            <w:tcW w:w="7355" w:type="dxa"/>
          </w:tcPr>
          <w:p w:rsidR="00D5012D" w:rsidRDefault="00AE7DDB">
            <w:pPr>
              <w:spacing w:line="280" w:lineRule="exact"/>
              <w:rPr>
                <w:color w:val="333333"/>
                <w:sz w:val="21"/>
                <w:szCs w:val="21"/>
              </w:rPr>
            </w:pPr>
            <w:r>
              <w:rPr>
                <w:rFonts w:hint="eastAsia"/>
                <w:color w:val="333333"/>
                <w:sz w:val="21"/>
                <w:szCs w:val="21"/>
              </w:rPr>
              <w:t>1.学年论文书写较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w:t>
            </w:r>
          </w:p>
          <w:p w:rsidR="00D5012D" w:rsidRDefault="00AE7DDB">
            <w:pPr>
              <w:spacing w:line="280" w:lineRule="exact"/>
              <w:rPr>
                <w:color w:val="333333"/>
                <w:sz w:val="21"/>
                <w:szCs w:val="21"/>
              </w:rPr>
            </w:pPr>
            <w:r>
              <w:rPr>
                <w:rFonts w:hint="eastAsia"/>
                <w:color w:val="333333"/>
                <w:sz w:val="21"/>
                <w:szCs w:val="21"/>
              </w:rPr>
              <w:t>2.文章</w:t>
            </w:r>
            <w:proofErr w:type="gramStart"/>
            <w:r>
              <w:rPr>
                <w:rFonts w:hint="eastAsia"/>
                <w:color w:val="333333"/>
                <w:sz w:val="21"/>
                <w:szCs w:val="21"/>
              </w:rPr>
              <w:t>写作较</w:t>
            </w:r>
            <w:proofErr w:type="gramEnd"/>
            <w:r>
              <w:rPr>
                <w:rFonts w:hint="eastAsia"/>
                <w:color w:val="333333"/>
                <w:sz w:val="21"/>
                <w:szCs w:val="21"/>
              </w:rPr>
              <w:t>规范，结构及层次较合理，逻辑性较强，达到学年论文的写作要求。</w:t>
            </w:r>
          </w:p>
          <w:p w:rsidR="00D5012D" w:rsidRDefault="00AE7DDB">
            <w:pPr>
              <w:spacing w:line="280" w:lineRule="exact"/>
              <w:rPr>
                <w:rFonts w:cs="Times New Roman"/>
                <w:color w:val="000000" w:themeColor="text1"/>
                <w:sz w:val="21"/>
                <w:szCs w:val="21"/>
              </w:rPr>
            </w:pPr>
            <w:r>
              <w:rPr>
                <w:rFonts w:hint="eastAsia"/>
                <w:color w:val="333333"/>
                <w:sz w:val="21"/>
                <w:szCs w:val="21"/>
              </w:rPr>
              <w:t>3.全过程参与课程学习，每次作业都完成，参与课程讨论，且作业成绩在70分以上。</w:t>
            </w:r>
          </w:p>
        </w:tc>
      </w:tr>
      <w:tr w:rsidR="00D5012D">
        <w:trPr>
          <w:jc w:val="center"/>
        </w:trPr>
        <w:tc>
          <w:tcPr>
            <w:tcW w:w="1276" w:type="dxa"/>
          </w:tcPr>
          <w:p w:rsidR="00D5012D" w:rsidRDefault="00AE7DDB">
            <w:pPr>
              <w:spacing w:line="376" w:lineRule="exact"/>
              <w:jc w:val="center"/>
              <w:rPr>
                <w:color w:val="333333"/>
                <w:sz w:val="21"/>
                <w:szCs w:val="21"/>
              </w:rPr>
            </w:pPr>
            <w:r>
              <w:rPr>
                <w:color w:val="333333"/>
                <w:sz w:val="21"/>
                <w:szCs w:val="21"/>
              </w:rPr>
              <w:t>及格</w:t>
            </w:r>
          </w:p>
          <w:p w:rsidR="00D5012D" w:rsidRDefault="00AE7DDB">
            <w:pPr>
              <w:spacing w:line="376" w:lineRule="exact"/>
              <w:jc w:val="center"/>
              <w:rPr>
                <w:color w:val="333333"/>
                <w:sz w:val="21"/>
                <w:szCs w:val="21"/>
              </w:rPr>
            </w:pPr>
            <w:r>
              <w:rPr>
                <w:color w:val="333333"/>
                <w:sz w:val="21"/>
                <w:szCs w:val="21"/>
              </w:rPr>
              <w:t>（60～69分）</w:t>
            </w:r>
          </w:p>
        </w:tc>
        <w:tc>
          <w:tcPr>
            <w:tcW w:w="7355" w:type="dxa"/>
          </w:tcPr>
          <w:p w:rsidR="00D5012D" w:rsidRDefault="00AE7DDB">
            <w:pPr>
              <w:numPr>
                <w:ilvl w:val="0"/>
                <w:numId w:val="3"/>
              </w:numPr>
              <w:spacing w:line="280" w:lineRule="exact"/>
              <w:rPr>
                <w:color w:val="333333"/>
                <w:sz w:val="21"/>
                <w:szCs w:val="21"/>
              </w:rPr>
            </w:pPr>
            <w:r>
              <w:rPr>
                <w:rFonts w:hint="eastAsia"/>
                <w:color w:val="333333"/>
                <w:sz w:val="21"/>
                <w:szCs w:val="21"/>
              </w:rPr>
              <w:t>学年论文书写</w:t>
            </w:r>
            <w:r>
              <w:rPr>
                <w:color w:val="333333"/>
                <w:sz w:val="21"/>
                <w:szCs w:val="21"/>
              </w:rPr>
              <w:t>工整</w:t>
            </w:r>
            <w:r>
              <w:rPr>
                <w:rFonts w:hint="eastAsia"/>
                <w:color w:val="333333"/>
                <w:sz w:val="21"/>
                <w:szCs w:val="21"/>
              </w:rPr>
              <w:t>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一般。</w:t>
            </w:r>
          </w:p>
          <w:p w:rsidR="00D5012D" w:rsidRDefault="00AE7DDB">
            <w:pPr>
              <w:numPr>
                <w:ilvl w:val="0"/>
                <w:numId w:val="3"/>
              </w:numPr>
              <w:spacing w:line="280" w:lineRule="exact"/>
              <w:rPr>
                <w:color w:val="333333"/>
                <w:sz w:val="21"/>
                <w:szCs w:val="21"/>
              </w:rPr>
            </w:pPr>
            <w:r>
              <w:rPr>
                <w:rFonts w:hint="eastAsia"/>
                <w:color w:val="333333"/>
                <w:sz w:val="21"/>
                <w:szCs w:val="21"/>
              </w:rPr>
              <w:t>基本达到学年的写作要求，但缺乏创新性，结构及层次不够合理。</w:t>
            </w:r>
          </w:p>
          <w:p w:rsidR="00D5012D" w:rsidRDefault="00AE7DDB">
            <w:pPr>
              <w:numPr>
                <w:ilvl w:val="0"/>
                <w:numId w:val="3"/>
              </w:numPr>
              <w:spacing w:line="280" w:lineRule="exact"/>
              <w:rPr>
                <w:rFonts w:cs="Times New Roman"/>
                <w:color w:val="000000" w:themeColor="text1"/>
                <w:sz w:val="21"/>
                <w:szCs w:val="21"/>
              </w:rPr>
            </w:pPr>
            <w:r>
              <w:rPr>
                <w:rFonts w:hint="eastAsia"/>
                <w:color w:val="333333"/>
                <w:sz w:val="21"/>
                <w:szCs w:val="21"/>
              </w:rPr>
              <w:t>每次作业都完成，参与课程讨论，且作业成绩在60以上。</w:t>
            </w:r>
          </w:p>
        </w:tc>
      </w:tr>
      <w:tr w:rsidR="00D5012D">
        <w:trPr>
          <w:jc w:val="center"/>
        </w:trPr>
        <w:tc>
          <w:tcPr>
            <w:tcW w:w="1276" w:type="dxa"/>
          </w:tcPr>
          <w:p w:rsidR="00D5012D" w:rsidRDefault="00AE7DDB">
            <w:pPr>
              <w:spacing w:line="272" w:lineRule="exact"/>
              <w:jc w:val="center"/>
              <w:rPr>
                <w:color w:val="333333"/>
                <w:sz w:val="21"/>
                <w:szCs w:val="21"/>
              </w:rPr>
            </w:pPr>
            <w:r>
              <w:rPr>
                <w:color w:val="333333"/>
                <w:sz w:val="21"/>
                <w:szCs w:val="21"/>
              </w:rPr>
              <w:t>不及格</w:t>
            </w:r>
          </w:p>
          <w:p w:rsidR="00D5012D" w:rsidRDefault="00AE7DDB">
            <w:pPr>
              <w:spacing w:line="272" w:lineRule="exact"/>
              <w:jc w:val="center"/>
              <w:rPr>
                <w:color w:val="333333"/>
                <w:sz w:val="21"/>
                <w:szCs w:val="21"/>
              </w:rPr>
            </w:pPr>
            <w:r>
              <w:rPr>
                <w:color w:val="333333"/>
                <w:sz w:val="21"/>
                <w:szCs w:val="21"/>
              </w:rPr>
              <w:t>（60以下）</w:t>
            </w:r>
          </w:p>
        </w:tc>
        <w:tc>
          <w:tcPr>
            <w:tcW w:w="7355" w:type="dxa"/>
          </w:tcPr>
          <w:p w:rsidR="00D5012D" w:rsidRDefault="00AE7DDB">
            <w:pPr>
              <w:spacing w:line="280" w:lineRule="exact"/>
              <w:rPr>
                <w:color w:val="333333"/>
                <w:sz w:val="21"/>
                <w:szCs w:val="21"/>
              </w:rPr>
            </w:pPr>
            <w:r>
              <w:rPr>
                <w:rFonts w:hint="eastAsia"/>
                <w:color w:val="333333"/>
                <w:sz w:val="21"/>
                <w:szCs w:val="21"/>
              </w:rPr>
              <w:t>1.学年论文</w:t>
            </w:r>
            <w:r>
              <w:rPr>
                <w:color w:val="333333"/>
                <w:sz w:val="21"/>
                <w:szCs w:val="21"/>
              </w:rPr>
              <w:t>字迹模糊、书写零乱</w:t>
            </w:r>
            <w:r>
              <w:rPr>
                <w:rFonts w:hint="eastAsia"/>
                <w:color w:val="333333"/>
                <w:sz w:val="21"/>
                <w:szCs w:val="21"/>
              </w:rPr>
              <w:t>。</w:t>
            </w:r>
          </w:p>
          <w:p w:rsidR="00D5012D" w:rsidRDefault="00AE7DDB">
            <w:pPr>
              <w:spacing w:line="280" w:lineRule="exact"/>
              <w:rPr>
                <w:color w:val="333333"/>
                <w:sz w:val="21"/>
                <w:szCs w:val="21"/>
              </w:rPr>
            </w:pPr>
            <w:r>
              <w:rPr>
                <w:rFonts w:hint="eastAsia"/>
                <w:color w:val="333333"/>
                <w:sz w:val="21"/>
                <w:szCs w:val="21"/>
              </w:rPr>
              <w:t>2.论文结构及层次不合理，逻辑不清晰，达不到学年论文的写作要求。</w:t>
            </w:r>
          </w:p>
          <w:p w:rsidR="00D5012D" w:rsidRDefault="00AE7DDB">
            <w:pPr>
              <w:spacing w:line="280" w:lineRule="exact"/>
              <w:rPr>
                <w:rFonts w:cs="Times New Roman"/>
                <w:color w:val="000000" w:themeColor="text1"/>
                <w:sz w:val="21"/>
                <w:szCs w:val="21"/>
              </w:rPr>
            </w:pPr>
            <w:r>
              <w:rPr>
                <w:rFonts w:hint="eastAsia"/>
                <w:color w:val="333333"/>
                <w:sz w:val="21"/>
                <w:szCs w:val="21"/>
              </w:rPr>
              <w:t>3.每次作业完成度不高，有缺勤记录，课程讨论不太积极，作业成绩在60以下。</w:t>
            </w:r>
          </w:p>
        </w:tc>
      </w:tr>
    </w:tbl>
    <w:p w:rsidR="00D5012D" w:rsidRDefault="00D5012D">
      <w:pPr>
        <w:rPr>
          <w:rFonts w:ascii="Times New Roman" w:cs="Times New Roman"/>
          <w:b/>
          <w:color w:val="000000" w:themeColor="text1"/>
          <w:sz w:val="28"/>
          <w:szCs w:val="28"/>
        </w:rPr>
      </w:pPr>
    </w:p>
    <w:p w:rsidR="00D5012D" w:rsidRDefault="00AE7DDB">
      <w:pPr>
        <w:numPr>
          <w:ilvl w:val="0"/>
          <w:numId w:val="4"/>
        </w:numPr>
        <w:ind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tblPr>
      <w:tblGrid>
        <w:gridCol w:w="672"/>
        <w:gridCol w:w="1680"/>
        <w:gridCol w:w="6170"/>
      </w:tblGrid>
      <w:tr w:rsidR="00D5012D">
        <w:trPr>
          <w:trHeight w:val="416"/>
          <w:jc w:val="center"/>
        </w:trPr>
        <w:tc>
          <w:tcPr>
            <w:tcW w:w="675" w:type="dxa"/>
            <w:vAlign w:val="center"/>
          </w:tcPr>
          <w:p w:rsidR="00D5012D" w:rsidRDefault="00AE7DDB">
            <w:pPr>
              <w:snapToGrid w:val="0"/>
              <w:rPr>
                <w:b/>
                <w:color w:val="333333"/>
                <w:sz w:val="21"/>
                <w:szCs w:val="21"/>
              </w:rPr>
            </w:pPr>
            <w:r>
              <w:rPr>
                <w:rFonts w:hint="eastAsia"/>
                <w:b/>
                <w:color w:val="333333"/>
                <w:sz w:val="21"/>
                <w:szCs w:val="21"/>
              </w:rPr>
              <w:t>序号</w:t>
            </w:r>
          </w:p>
        </w:tc>
        <w:tc>
          <w:tcPr>
            <w:tcW w:w="1701" w:type="dxa"/>
            <w:vAlign w:val="center"/>
          </w:tcPr>
          <w:p w:rsidR="00D5012D" w:rsidRDefault="00AE7DDB">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rsidR="00D5012D" w:rsidRDefault="00AE7DDB">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D5012D">
        <w:trPr>
          <w:jc w:val="center"/>
        </w:trPr>
        <w:tc>
          <w:tcPr>
            <w:tcW w:w="675" w:type="dxa"/>
            <w:vAlign w:val="center"/>
          </w:tcPr>
          <w:p w:rsidR="00D5012D" w:rsidRDefault="00AE7DDB">
            <w:pPr>
              <w:snapToGrid w:val="0"/>
              <w:ind w:left="181"/>
              <w:jc w:val="both"/>
              <w:rPr>
                <w:color w:val="333333"/>
                <w:sz w:val="21"/>
                <w:szCs w:val="21"/>
              </w:rPr>
            </w:pPr>
            <w:r>
              <w:rPr>
                <w:rFonts w:hint="eastAsia"/>
                <w:color w:val="333333"/>
                <w:sz w:val="21"/>
                <w:szCs w:val="21"/>
              </w:rPr>
              <w:t>1</w:t>
            </w:r>
          </w:p>
        </w:tc>
        <w:tc>
          <w:tcPr>
            <w:tcW w:w="1701" w:type="dxa"/>
            <w:vAlign w:val="center"/>
          </w:tcPr>
          <w:p w:rsidR="00D5012D" w:rsidRDefault="00AE7DDB">
            <w:pPr>
              <w:snapToGrid w:val="0"/>
              <w:jc w:val="center"/>
              <w:rPr>
                <w:color w:val="333333"/>
                <w:sz w:val="21"/>
                <w:szCs w:val="21"/>
              </w:rPr>
            </w:pPr>
            <w:r>
              <w:rPr>
                <w:rFonts w:hint="eastAsia"/>
                <w:color w:val="333333"/>
                <w:sz w:val="21"/>
                <w:szCs w:val="21"/>
              </w:rPr>
              <w:t>指导教师</w:t>
            </w:r>
          </w:p>
        </w:tc>
        <w:tc>
          <w:tcPr>
            <w:tcW w:w="6268" w:type="dxa"/>
            <w:vAlign w:val="center"/>
          </w:tcPr>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 助教/讲师/副教授/教授     学历（位）：本科以上</w:t>
            </w:r>
          </w:p>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5012D">
        <w:trPr>
          <w:jc w:val="center"/>
        </w:trPr>
        <w:tc>
          <w:tcPr>
            <w:tcW w:w="675" w:type="dxa"/>
            <w:vAlign w:val="center"/>
          </w:tcPr>
          <w:p w:rsidR="00D5012D" w:rsidRDefault="00AE7DDB">
            <w:pPr>
              <w:snapToGrid w:val="0"/>
              <w:ind w:left="181"/>
              <w:jc w:val="both"/>
              <w:rPr>
                <w:color w:val="333333"/>
                <w:sz w:val="21"/>
                <w:szCs w:val="21"/>
              </w:rPr>
            </w:pPr>
            <w:r>
              <w:rPr>
                <w:rFonts w:hint="eastAsia"/>
                <w:color w:val="333333"/>
                <w:sz w:val="21"/>
                <w:szCs w:val="21"/>
              </w:rPr>
              <w:t>2</w:t>
            </w:r>
          </w:p>
        </w:tc>
        <w:tc>
          <w:tcPr>
            <w:tcW w:w="1701" w:type="dxa"/>
            <w:vAlign w:val="center"/>
          </w:tcPr>
          <w:p w:rsidR="00D5012D" w:rsidRDefault="00AE7DDB">
            <w:pPr>
              <w:snapToGrid w:val="0"/>
              <w:jc w:val="center"/>
              <w:rPr>
                <w:color w:val="333333"/>
                <w:sz w:val="21"/>
                <w:szCs w:val="21"/>
              </w:rPr>
            </w:pPr>
            <w:r>
              <w:rPr>
                <w:rFonts w:hint="eastAsia"/>
                <w:color w:val="333333"/>
                <w:sz w:val="21"/>
                <w:szCs w:val="21"/>
              </w:rPr>
              <w:t>课程时间</w:t>
            </w:r>
          </w:p>
        </w:tc>
        <w:tc>
          <w:tcPr>
            <w:tcW w:w="6268" w:type="dxa"/>
            <w:vAlign w:val="center"/>
          </w:tcPr>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周次：共3周 ，每次间隔1周以上     </w:t>
            </w:r>
          </w:p>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节次：2节次/周</w:t>
            </w:r>
          </w:p>
        </w:tc>
      </w:tr>
      <w:tr w:rsidR="00D5012D">
        <w:trPr>
          <w:jc w:val="center"/>
        </w:trPr>
        <w:tc>
          <w:tcPr>
            <w:tcW w:w="675" w:type="dxa"/>
            <w:vAlign w:val="center"/>
          </w:tcPr>
          <w:p w:rsidR="00D5012D" w:rsidRDefault="00AE7DDB">
            <w:pPr>
              <w:snapToGrid w:val="0"/>
              <w:ind w:left="181"/>
              <w:jc w:val="both"/>
              <w:rPr>
                <w:color w:val="333333"/>
                <w:sz w:val="21"/>
                <w:szCs w:val="21"/>
              </w:rPr>
            </w:pPr>
            <w:r>
              <w:rPr>
                <w:rFonts w:hint="eastAsia"/>
                <w:color w:val="333333"/>
                <w:sz w:val="21"/>
                <w:szCs w:val="21"/>
              </w:rPr>
              <w:t>3</w:t>
            </w:r>
          </w:p>
        </w:tc>
        <w:tc>
          <w:tcPr>
            <w:tcW w:w="1701" w:type="dxa"/>
            <w:vAlign w:val="center"/>
          </w:tcPr>
          <w:p w:rsidR="00D5012D" w:rsidRDefault="00AE7DDB">
            <w:pPr>
              <w:snapToGrid w:val="0"/>
              <w:jc w:val="center"/>
              <w:rPr>
                <w:color w:val="333333"/>
                <w:sz w:val="21"/>
                <w:szCs w:val="21"/>
              </w:rPr>
            </w:pPr>
            <w:r>
              <w:rPr>
                <w:rFonts w:hint="eastAsia"/>
                <w:color w:val="333333"/>
                <w:sz w:val="21"/>
                <w:szCs w:val="21"/>
              </w:rPr>
              <w:t>指导地点</w:t>
            </w:r>
          </w:p>
        </w:tc>
        <w:tc>
          <w:tcPr>
            <w:tcW w:w="6268" w:type="dxa"/>
            <w:vAlign w:val="center"/>
          </w:tcPr>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D5012D">
        <w:trPr>
          <w:jc w:val="center"/>
        </w:trPr>
        <w:tc>
          <w:tcPr>
            <w:tcW w:w="675" w:type="dxa"/>
            <w:vAlign w:val="center"/>
          </w:tcPr>
          <w:p w:rsidR="00D5012D" w:rsidRDefault="00AE7DDB">
            <w:pPr>
              <w:snapToGrid w:val="0"/>
              <w:ind w:left="181"/>
              <w:jc w:val="both"/>
              <w:rPr>
                <w:color w:val="333333"/>
                <w:sz w:val="21"/>
                <w:szCs w:val="21"/>
              </w:rPr>
            </w:pPr>
            <w:r>
              <w:rPr>
                <w:rFonts w:hint="eastAsia"/>
                <w:color w:val="333333"/>
                <w:sz w:val="21"/>
                <w:szCs w:val="21"/>
              </w:rPr>
              <w:t>4</w:t>
            </w:r>
          </w:p>
        </w:tc>
        <w:tc>
          <w:tcPr>
            <w:tcW w:w="1701" w:type="dxa"/>
            <w:vAlign w:val="center"/>
          </w:tcPr>
          <w:p w:rsidR="00D5012D" w:rsidRDefault="00AE7DDB">
            <w:pPr>
              <w:snapToGrid w:val="0"/>
              <w:jc w:val="center"/>
              <w:rPr>
                <w:color w:val="333333"/>
                <w:sz w:val="21"/>
                <w:szCs w:val="21"/>
              </w:rPr>
            </w:pPr>
            <w:r>
              <w:rPr>
                <w:rFonts w:hint="eastAsia"/>
                <w:color w:val="333333"/>
                <w:sz w:val="21"/>
                <w:szCs w:val="21"/>
              </w:rPr>
              <w:t>学生辅导</w:t>
            </w:r>
          </w:p>
        </w:tc>
        <w:tc>
          <w:tcPr>
            <w:tcW w:w="6268" w:type="dxa"/>
            <w:vAlign w:val="center"/>
          </w:tcPr>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及时间安排：企业微信、</w:t>
            </w:r>
            <w:proofErr w:type="gramStart"/>
            <w:r>
              <w:rPr>
                <w:rFonts w:asciiTheme="minorEastAsia" w:eastAsiaTheme="minorEastAsia" w:hAnsiTheme="minorEastAsia" w:cs="Times New Roman" w:hint="eastAsia"/>
                <w:color w:val="000000" w:themeColor="text1"/>
                <w:sz w:val="21"/>
                <w:szCs w:val="21"/>
              </w:rPr>
              <w:t>微信或</w:t>
            </w:r>
            <w:proofErr w:type="gramEnd"/>
            <w:r>
              <w:rPr>
                <w:rFonts w:asciiTheme="minorEastAsia" w:eastAsiaTheme="minorEastAsia" w:hAnsiTheme="minorEastAsia" w:cs="Times New Roman" w:hint="eastAsia"/>
                <w:color w:val="000000" w:themeColor="text1"/>
                <w:sz w:val="21"/>
                <w:szCs w:val="21"/>
              </w:rPr>
              <w:t>电话，时间不限定</w:t>
            </w:r>
          </w:p>
          <w:p w:rsidR="00D5012D" w:rsidRDefault="00AE7DDB">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线下地点及时间安排：老师办公室，时间根据学生而定</w:t>
            </w:r>
          </w:p>
        </w:tc>
      </w:tr>
    </w:tbl>
    <w:p w:rsidR="00D5012D" w:rsidRDefault="00AE7DD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rsidR="00D5012D" w:rsidRDefault="00AE7DD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D5012D" w:rsidRDefault="00AE7DDB">
      <w:pPr>
        <w:ind w:firstLineChars="350" w:firstLine="735"/>
        <w:rPr>
          <w:rFonts w:ascii="Times New Roman" w:cs="Times New Roman"/>
          <w:b/>
          <w:color w:val="000000" w:themeColor="text1"/>
          <w:sz w:val="28"/>
          <w:szCs w:val="28"/>
        </w:rPr>
      </w:pPr>
      <w:r>
        <w:rPr>
          <w:rFonts w:asciiTheme="minorEastAsia" w:eastAsiaTheme="minorEastAsia" w:hAnsiTheme="minorEastAsia" w:cs="Times New Roman" w:hint="eastAsia"/>
          <w:color w:val="000000" w:themeColor="text1"/>
          <w:sz w:val="21"/>
          <w:szCs w:val="21"/>
        </w:rPr>
        <w:t>无</w:t>
      </w:r>
    </w:p>
    <w:p w:rsidR="00D5012D" w:rsidRDefault="00AE7DDB">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D5012D" w:rsidRDefault="00AE7DDB">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无</w:t>
      </w:r>
    </w:p>
    <w:p w:rsidR="00D5012D" w:rsidRDefault="00AE7DDB">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D5012D" w:rsidRDefault="00AE7DDB">
      <w:pPr>
        <w:spacing w:line="360" w:lineRule="auto"/>
        <w:ind w:firstLineChars="200" w:firstLine="422"/>
        <w:rPr>
          <w:rFonts w:asciiTheme="minorEastAsia" w:eastAsiaTheme="minorEastAsia" w:hAnsiTheme="minorEastAsia" w:cs="Times New Roman"/>
          <w:b/>
          <w:bCs/>
          <w:color w:val="000000" w:themeColor="text1"/>
          <w:sz w:val="21"/>
          <w:szCs w:val="21"/>
        </w:rPr>
      </w:pPr>
      <w:r>
        <w:rPr>
          <w:rFonts w:asciiTheme="minorEastAsia" w:eastAsiaTheme="minorEastAsia" w:hAnsiTheme="minorEastAsia" w:cs="Times New Roman" w:hint="eastAsia"/>
          <w:b/>
          <w:bCs/>
          <w:color w:val="000000" w:themeColor="text1"/>
          <w:sz w:val="21"/>
          <w:szCs w:val="21"/>
        </w:rPr>
        <w:t>1、学术网站（部分）</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中国知网（收费）：国内最大学术数据库，包括期刊、学位论文、统计年鉴等http://www.cnki.net/</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万方数据</w:t>
      </w:r>
      <w:proofErr w:type="spellStart"/>
      <w:r>
        <w:rPr>
          <w:rFonts w:asciiTheme="minorEastAsia" w:eastAsiaTheme="minorEastAsia" w:hAnsiTheme="minorEastAsia" w:cs="Times New Roman"/>
          <w:color w:val="000000" w:themeColor="text1"/>
          <w:sz w:val="21"/>
          <w:szCs w:val="21"/>
        </w:rPr>
        <w:t>ilib</w:t>
      </w:r>
      <w:proofErr w:type="spellEnd"/>
      <w:r>
        <w:rPr>
          <w:rFonts w:asciiTheme="minorEastAsia" w:eastAsiaTheme="minorEastAsia" w:hAnsiTheme="minorEastAsia" w:cs="Times New Roman"/>
          <w:color w:val="000000" w:themeColor="text1"/>
          <w:sz w:val="21"/>
          <w:szCs w:val="21"/>
        </w:rPr>
        <w:t>（收费）</w:t>
      </w:r>
      <w:r>
        <w:rPr>
          <w:rFonts w:asciiTheme="minorEastAsia" w:eastAsiaTheme="minorEastAsia" w:hAnsiTheme="minorEastAsia" w:cs="Times New Roman" w:hint="eastAsia"/>
          <w:color w:val="000000" w:themeColor="text1"/>
          <w:sz w:val="21"/>
          <w:szCs w:val="21"/>
        </w:rPr>
        <w:t>：仅次于中国知网，包括期刊、学位论文等。</w:t>
      </w:r>
      <w:r>
        <w:rPr>
          <w:rFonts w:asciiTheme="minorEastAsia" w:eastAsiaTheme="minorEastAsia" w:hAnsiTheme="minorEastAsia" w:cs="Times New Roman"/>
          <w:color w:val="000000" w:themeColor="text1"/>
          <w:sz w:val="21"/>
          <w:szCs w:val="21"/>
        </w:rPr>
        <w:t>http://www.ilib2.com/</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国家哲学社会科学学术期刊数据库（免费）http://www.nssd.org/</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中国社会科学网（免费）http://www.cssn.cn/</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论文下载中心（免费）http://www.hi138.com/</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Google 学术搜索（免费）http://scholar.google.com/</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百度学术搜索（免费）http://xueshu.baidu.com/</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360学术搜索（免费）http://xueshu.so.com/</w:t>
      </w:r>
    </w:p>
    <w:p w:rsidR="00D5012D" w:rsidRDefault="00AE7DDB">
      <w:pPr>
        <w:numPr>
          <w:ilvl w:val="0"/>
          <w:numId w:val="5"/>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中国国家图书馆（免费）http://www.nlc.gov.cn/</w:t>
      </w:r>
    </w:p>
    <w:p w:rsidR="00D5012D" w:rsidRDefault="00AE7DDB">
      <w:pPr>
        <w:spacing w:line="360" w:lineRule="auto"/>
        <w:ind w:firstLineChars="200" w:firstLine="420"/>
        <w:rPr>
          <w:rFonts w:asciiTheme="minorEastAsia" w:eastAsiaTheme="minorEastAsia" w:hAnsiTheme="minorEastAsia" w:cs="Times New Roman"/>
          <w:b/>
          <w:bCs/>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b/>
          <w:bCs/>
          <w:color w:val="000000" w:themeColor="text1"/>
          <w:sz w:val="21"/>
          <w:szCs w:val="21"/>
        </w:rPr>
        <w:t>、数据库</w:t>
      </w:r>
    </w:p>
    <w:p w:rsidR="00D5012D" w:rsidRDefault="00AE7DD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国内商业数据库</w:t>
      </w:r>
    </w:p>
    <w:p w:rsidR="00D5012D" w:rsidRDefault="00AE7DD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国内数据库有如万</w:t>
      </w:r>
      <w:r>
        <w:rPr>
          <w:rFonts w:asciiTheme="minorEastAsia" w:eastAsiaTheme="minorEastAsia" w:hAnsiTheme="minorEastAsia" w:cs="Times New Roman" w:hint="eastAsia"/>
          <w:color w:val="000000" w:themeColor="text1"/>
          <w:sz w:val="21"/>
          <w:szCs w:val="21"/>
        </w:rPr>
        <w:t>得</w:t>
      </w:r>
      <w:r>
        <w:rPr>
          <w:rFonts w:asciiTheme="minorEastAsia" w:eastAsiaTheme="minorEastAsia" w:hAnsiTheme="minorEastAsia" w:cs="Times New Roman"/>
          <w:color w:val="000000" w:themeColor="text1"/>
          <w:sz w:val="21"/>
          <w:szCs w:val="21"/>
        </w:rPr>
        <w:t>、恒</w:t>
      </w:r>
      <w:bookmarkStart w:id="0" w:name="_GoBack"/>
      <w:bookmarkEnd w:id="0"/>
      <w:r>
        <w:rPr>
          <w:rFonts w:asciiTheme="minorEastAsia" w:eastAsiaTheme="minorEastAsia" w:hAnsiTheme="minorEastAsia" w:cs="Times New Roman"/>
          <w:color w:val="000000" w:themeColor="text1"/>
          <w:sz w:val="21"/>
          <w:szCs w:val="21"/>
        </w:rPr>
        <w:t>生聚源、</w:t>
      </w:r>
      <w:proofErr w:type="gramStart"/>
      <w:r>
        <w:rPr>
          <w:rFonts w:asciiTheme="minorEastAsia" w:eastAsiaTheme="minorEastAsia" w:hAnsiTheme="minorEastAsia" w:cs="Times New Roman"/>
          <w:color w:val="000000" w:themeColor="text1"/>
          <w:sz w:val="21"/>
          <w:szCs w:val="21"/>
        </w:rPr>
        <w:t>锐思数据库</w:t>
      </w:r>
      <w:proofErr w:type="gramEnd"/>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国泰安（</w:t>
      </w:r>
      <w:r>
        <w:rPr>
          <w:rFonts w:asciiTheme="minorEastAsia" w:eastAsiaTheme="minorEastAsia" w:hAnsiTheme="minorEastAsia" w:cs="Times New Roman"/>
          <w:color w:val="000000" w:themeColor="text1"/>
          <w:sz w:val="21"/>
          <w:szCs w:val="21"/>
        </w:rPr>
        <w:t>CSMAR</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数据库、巨潮数据库等。目前万</w:t>
      </w:r>
      <w:r>
        <w:rPr>
          <w:rFonts w:asciiTheme="minorEastAsia" w:eastAsiaTheme="minorEastAsia" w:hAnsiTheme="minorEastAsia" w:cs="Times New Roman" w:hint="eastAsia"/>
          <w:color w:val="000000" w:themeColor="text1"/>
          <w:sz w:val="21"/>
          <w:szCs w:val="21"/>
        </w:rPr>
        <w:t>得</w:t>
      </w:r>
      <w:r>
        <w:rPr>
          <w:rFonts w:asciiTheme="minorEastAsia" w:eastAsiaTheme="minorEastAsia" w:hAnsiTheme="minorEastAsia" w:cs="Times New Roman"/>
          <w:color w:val="000000" w:themeColor="text1"/>
          <w:sz w:val="21"/>
          <w:szCs w:val="21"/>
        </w:rPr>
        <w:t>数据库主要定位于国内高端客户，市场占有率较高，80%左右，其售价较高。恒生聚源也定位为机构客户，性价比较高，售价要比万德便宜的多。CSMAR数据库定位于学术与高校，其中金融数据比较全，强大。</w:t>
      </w:r>
      <w:proofErr w:type="gramStart"/>
      <w:r>
        <w:rPr>
          <w:rFonts w:asciiTheme="minorEastAsia" w:eastAsiaTheme="minorEastAsia" w:hAnsiTheme="minorEastAsia" w:cs="Times New Roman"/>
          <w:color w:val="000000" w:themeColor="text1"/>
          <w:sz w:val="21"/>
          <w:szCs w:val="21"/>
        </w:rPr>
        <w:t>锐思数据库</w:t>
      </w:r>
      <w:proofErr w:type="gramEnd"/>
      <w:r>
        <w:rPr>
          <w:rFonts w:asciiTheme="minorEastAsia" w:eastAsiaTheme="minorEastAsia" w:hAnsiTheme="minorEastAsia" w:cs="Times New Roman"/>
          <w:color w:val="000000" w:themeColor="text1"/>
          <w:sz w:val="21"/>
          <w:szCs w:val="21"/>
        </w:rPr>
        <w:t>定位于学术，质量一般。巨潮数据库为深交所旗下数据库，有一定的特殊优势。</w:t>
      </w:r>
    </w:p>
    <w:p w:rsidR="00D5012D" w:rsidRDefault="00AE7DD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color w:val="000000" w:themeColor="text1"/>
          <w:sz w:val="21"/>
          <w:szCs w:val="21"/>
        </w:rPr>
        <w:t>国外商业数据库</w:t>
      </w:r>
    </w:p>
    <w:p w:rsidR="00D5012D" w:rsidRDefault="00AE7DDB">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国外数据库主要有彭博、路透社、CEIC、OECD、</w:t>
      </w:r>
      <w:proofErr w:type="spellStart"/>
      <w:r>
        <w:rPr>
          <w:rFonts w:asciiTheme="minorEastAsia" w:eastAsiaTheme="minorEastAsia" w:hAnsiTheme="minorEastAsia" w:cs="Times New Roman"/>
          <w:color w:val="000000" w:themeColor="text1"/>
          <w:sz w:val="21"/>
          <w:szCs w:val="21"/>
        </w:rPr>
        <w:t>HaverDatabase</w:t>
      </w:r>
      <w:proofErr w:type="spellEnd"/>
      <w:r>
        <w:rPr>
          <w:rFonts w:asciiTheme="minorEastAsia" w:eastAsiaTheme="minorEastAsia" w:hAnsiTheme="minorEastAsia" w:cs="Times New Roman"/>
          <w:color w:val="000000" w:themeColor="text1"/>
          <w:sz w:val="21"/>
          <w:szCs w:val="21"/>
        </w:rPr>
        <w:t xml:space="preserve">、Thomson Financial </w:t>
      </w:r>
      <w:proofErr w:type="spellStart"/>
      <w:r>
        <w:rPr>
          <w:rFonts w:asciiTheme="minorEastAsia" w:eastAsiaTheme="minorEastAsia" w:hAnsiTheme="minorEastAsia" w:cs="Times New Roman"/>
          <w:color w:val="000000" w:themeColor="text1"/>
          <w:sz w:val="21"/>
          <w:szCs w:val="21"/>
        </w:rPr>
        <w:t>OneBanker</w:t>
      </w:r>
      <w:proofErr w:type="spellEnd"/>
      <w:r>
        <w:rPr>
          <w:rFonts w:asciiTheme="minorEastAsia" w:eastAsiaTheme="minorEastAsia" w:hAnsiTheme="minorEastAsia" w:cs="Times New Roman"/>
          <w:color w:val="000000" w:themeColor="text1"/>
          <w:sz w:val="21"/>
          <w:szCs w:val="21"/>
        </w:rPr>
        <w:t>等，国外数据库中彭博是比较全，在国内销售也较好，但是售价贵。</w:t>
      </w:r>
    </w:p>
    <w:p w:rsidR="00D5012D" w:rsidRDefault="00D5012D">
      <w:pPr>
        <w:spacing w:line="360" w:lineRule="auto"/>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D5012D">
      <w:pPr>
        <w:spacing w:line="360" w:lineRule="auto"/>
        <w:ind w:firstLineChars="2750" w:firstLine="5775"/>
        <w:rPr>
          <w:bCs/>
          <w:color w:val="000000" w:themeColor="text1"/>
          <w:sz w:val="21"/>
          <w:szCs w:val="21"/>
        </w:rPr>
      </w:pPr>
    </w:p>
    <w:p w:rsidR="00D5012D" w:rsidRDefault="00AE7DDB">
      <w:pPr>
        <w:spacing w:line="360" w:lineRule="auto"/>
        <w:ind w:firstLineChars="2750" w:firstLine="5775"/>
        <w:rPr>
          <w:bCs/>
          <w:color w:val="000000" w:themeColor="text1"/>
          <w:sz w:val="21"/>
          <w:szCs w:val="21"/>
        </w:rPr>
      </w:pPr>
      <w:r>
        <w:rPr>
          <w:rFonts w:hint="eastAsia"/>
          <w:bCs/>
          <w:color w:val="000000" w:themeColor="text1"/>
          <w:sz w:val="21"/>
          <w:szCs w:val="21"/>
        </w:rPr>
        <w:t>大纲执笔人：</w:t>
      </w:r>
      <w:r w:rsidR="00D84CE9">
        <w:rPr>
          <w:rFonts w:hint="eastAsia"/>
          <w:bCs/>
          <w:color w:val="000000" w:themeColor="text1"/>
          <w:sz w:val="21"/>
          <w:szCs w:val="21"/>
        </w:rPr>
        <w:t>吴雪梅</w:t>
      </w:r>
    </w:p>
    <w:p w:rsidR="00D5012D" w:rsidRDefault="00AE7DDB">
      <w:pPr>
        <w:spacing w:line="360" w:lineRule="auto"/>
        <w:ind w:firstLineChars="2750" w:firstLine="5775"/>
        <w:rPr>
          <w:bCs/>
          <w:color w:val="000000" w:themeColor="text1"/>
          <w:sz w:val="21"/>
          <w:szCs w:val="21"/>
        </w:rPr>
      </w:pPr>
      <w:r>
        <w:rPr>
          <w:rFonts w:hint="eastAsia"/>
          <w:bCs/>
          <w:color w:val="000000" w:themeColor="text1"/>
          <w:sz w:val="21"/>
          <w:szCs w:val="21"/>
        </w:rPr>
        <w:t>讨论参与人: 张敏强</w:t>
      </w:r>
    </w:p>
    <w:p w:rsidR="00D5012D" w:rsidRDefault="00AE7DDB">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系（教研室）主任：罗萧</w:t>
      </w:r>
    </w:p>
    <w:p w:rsidR="00D5012D" w:rsidRDefault="00AE7DDB">
      <w:pPr>
        <w:spacing w:line="360" w:lineRule="auto"/>
        <w:ind w:firstLineChars="2750" w:firstLine="5775"/>
      </w:pPr>
      <w:r>
        <w:rPr>
          <w:rFonts w:hint="eastAsia"/>
          <w:bCs/>
          <w:color w:val="000000" w:themeColor="text1"/>
          <w:sz w:val="21"/>
          <w:szCs w:val="21"/>
        </w:rPr>
        <w:t>学院（部）审核人：郑阿泰</w:t>
      </w:r>
      <w:r>
        <w:rPr>
          <w:rFonts w:hint="eastAsia"/>
          <w:b/>
          <w:bCs/>
          <w:color w:val="000000" w:themeColor="text1"/>
          <w:sz w:val="21"/>
          <w:szCs w:val="21"/>
        </w:rPr>
        <w:t xml:space="preserve">     </w:t>
      </w:r>
    </w:p>
    <w:sectPr w:rsidR="00D5012D" w:rsidSect="00D50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BC" w:rsidRDefault="00F10BBC" w:rsidP="004D3FFE">
      <w:r>
        <w:separator/>
      </w:r>
    </w:p>
  </w:endnote>
  <w:endnote w:type="continuationSeparator" w:id="0">
    <w:p w:rsidR="00F10BBC" w:rsidRDefault="00F10BBC" w:rsidP="004D3F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å®‹ä½“">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BC" w:rsidRDefault="00F10BBC" w:rsidP="004D3FFE">
      <w:r>
        <w:separator/>
      </w:r>
    </w:p>
  </w:footnote>
  <w:footnote w:type="continuationSeparator" w:id="0">
    <w:p w:rsidR="00F10BBC" w:rsidRDefault="00F10BBC" w:rsidP="004D3F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DB32B8"/>
    <w:multiLevelType w:val="singleLevel"/>
    <w:tmpl w:val="BFDB32B8"/>
    <w:lvl w:ilvl="0">
      <w:start w:val="1"/>
      <w:numFmt w:val="decimal"/>
      <w:lvlText w:val="%1."/>
      <w:lvlJc w:val="left"/>
      <w:pPr>
        <w:tabs>
          <w:tab w:val="left" w:pos="312"/>
        </w:tabs>
      </w:pPr>
    </w:lvl>
  </w:abstractNum>
  <w:abstractNum w:abstractNumId="1">
    <w:nsid w:val="0235D55E"/>
    <w:multiLevelType w:val="singleLevel"/>
    <w:tmpl w:val="0235D55E"/>
    <w:lvl w:ilvl="0">
      <w:start w:val="2"/>
      <w:numFmt w:val="decimal"/>
      <w:suff w:val="nothing"/>
      <w:lvlText w:val="%1、"/>
      <w:lvlJc w:val="left"/>
    </w:lvl>
  </w:abstractNum>
  <w:abstractNum w:abstractNumId="2">
    <w:nsid w:val="1E460AD7"/>
    <w:multiLevelType w:val="singleLevel"/>
    <w:tmpl w:val="1E460AD7"/>
    <w:lvl w:ilvl="0">
      <w:start w:val="6"/>
      <w:numFmt w:val="chineseCounting"/>
      <w:suff w:val="nothing"/>
      <w:lvlText w:val="%1、"/>
      <w:lvlJc w:val="left"/>
      <w:rPr>
        <w:rFonts w:hint="eastAsia"/>
      </w:rPr>
    </w:lvl>
  </w:abstractNum>
  <w:abstractNum w:abstractNumId="3">
    <w:nsid w:val="3485979B"/>
    <w:multiLevelType w:val="singleLevel"/>
    <w:tmpl w:val="3485979B"/>
    <w:lvl w:ilvl="0">
      <w:start w:val="1"/>
      <w:numFmt w:val="decimal"/>
      <w:lvlText w:val="[%1]"/>
      <w:lvlJc w:val="left"/>
      <w:pPr>
        <w:tabs>
          <w:tab w:val="left" w:pos="312"/>
        </w:tabs>
      </w:pPr>
    </w:lvl>
  </w:abstractNum>
  <w:abstractNum w:abstractNumId="4">
    <w:nsid w:val="437F58CF"/>
    <w:multiLevelType w:val="singleLevel"/>
    <w:tmpl w:val="437F58CF"/>
    <w:lvl w:ilvl="0">
      <w:start w:val="4"/>
      <w:numFmt w:val="decimal"/>
      <w:suff w:val="nothing"/>
      <w:lvlText w:val="%1、"/>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5E4650DB"/>
    <w:rsid w:val="001D7A27"/>
    <w:rsid w:val="00206DDB"/>
    <w:rsid w:val="00460237"/>
    <w:rsid w:val="004D3FFE"/>
    <w:rsid w:val="00582172"/>
    <w:rsid w:val="00583977"/>
    <w:rsid w:val="00654EC9"/>
    <w:rsid w:val="006C1B95"/>
    <w:rsid w:val="0070687A"/>
    <w:rsid w:val="007B5540"/>
    <w:rsid w:val="008E07BE"/>
    <w:rsid w:val="00A67C75"/>
    <w:rsid w:val="00AE7DDB"/>
    <w:rsid w:val="00CC6248"/>
    <w:rsid w:val="00D5012D"/>
    <w:rsid w:val="00D84CE9"/>
    <w:rsid w:val="00E00DB9"/>
    <w:rsid w:val="00F10BBC"/>
    <w:rsid w:val="02AB3C57"/>
    <w:rsid w:val="032349A1"/>
    <w:rsid w:val="07664978"/>
    <w:rsid w:val="08EC0C19"/>
    <w:rsid w:val="0CE1614A"/>
    <w:rsid w:val="0E3910A8"/>
    <w:rsid w:val="1105306B"/>
    <w:rsid w:val="12B306F6"/>
    <w:rsid w:val="138D2581"/>
    <w:rsid w:val="150026BC"/>
    <w:rsid w:val="1AE14356"/>
    <w:rsid w:val="1EDC64E4"/>
    <w:rsid w:val="1EEE777A"/>
    <w:rsid w:val="217041B3"/>
    <w:rsid w:val="22395C55"/>
    <w:rsid w:val="23A61C99"/>
    <w:rsid w:val="23A777BF"/>
    <w:rsid w:val="26D044DE"/>
    <w:rsid w:val="2B9A225C"/>
    <w:rsid w:val="2C7E7DF9"/>
    <w:rsid w:val="2CFB18DB"/>
    <w:rsid w:val="2E431036"/>
    <w:rsid w:val="2FC00586"/>
    <w:rsid w:val="31D606EE"/>
    <w:rsid w:val="35F01596"/>
    <w:rsid w:val="3DE6002E"/>
    <w:rsid w:val="3F0545C3"/>
    <w:rsid w:val="44665250"/>
    <w:rsid w:val="454541B9"/>
    <w:rsid w:val="46DB5763"/>
    <w:rsid w:val="476D1848"/>
    <w:rsid w:val="47FC464D"/>
    <w:rsid w:val="49066BB2"/>
    <w:rsid w:val="4BC83262"/>
    <w:rsid w:val="52C26982"/>
    <w:rsid w:val="555D604D"/>
    <w:rsid w:val="55A87CB5"/>
    <w:rsid w:val="5B95007C"/>
    <w:rsid w:val="5E4650DB"/>
    <w:rsid w:val="657D5055"/>
    <w:rsid w:val="65F81C75"/>
    <w:rsid w:val="66214BD4"/>
    <w:rsid w:val="67FA4F92"/>
    <w:rsid w:val="694035C3"/>
    <w:rsid w:val="6D1C4347"/>
    <w:rsid w:val="6FE4739E"/>
    <w:rsid w:val="702B5828"/>
    <w:rsid w:val="725D1274"/>
    <w:rsid w:val="72FA2A34"/>
    <w:rsid w:val="73881124"/>
    <w:rsid w:val="7445098F"/>
    <w:rsid w:val="76101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D5012D"/>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5012D"/>
  </w:style>
  <w:style w:type="paragraph" w:styleId="a4">
    <w:name w:val="Title"/>
    <w:basedOn w:val="a"/>
    <w:next w:val="a"/>
    <w:qFormat/>
    <w:rsid w:val="00D5012D"/>
    <w:pPr>
      <w:spacing w:before="240" w:after="60"/>
      <w:jc w:val="center"/>
      <w:outlineLvl w:val="0"/>
    </w:pPr>
    <w:rPr>
      <w:rFonts w:asciiTheme="majorHAnsi" w:hAnsiTheme="majorHAnsi" w:cstheme="majorBidi"/>
      <w:b/>
      <w:bCs/>
      <w:sz w:val="32"/>
      <w:szCs w:val="32"/>
    </w:rPr>
  </w:style>
  <w:style w:type="table" w:styleId="a5">
    <w:name w:val="Table Grid"/>
    <w:basedOn w:val="a1"/>
    <w:qFormat/>
    <w:rsid w:val="00D50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qFormat/>
    <w:rsid w:val="00D5012D"/>
    <w:rPr>
      <w:sz w:val="21"/>
      <w:szCs w:val="21"/>
    </w:rPr>
  </w:style>
  <w:style w:type="paragraph" w:customStyle="1" w:styleId="a7">
    <w:name w:val="论文规范一级标题"/>
    <w:basedOn w:val="a4"/>
    <w:qFormat/>
    <w:rsid w:val="00D5012D"/>
    <w:pPr>
      <w:autoSpaceDE/>
      <w:autoSpaceDN/>
      <w:spacing w:before="0" w:after="0"/>
    </w:pPr>
    <w:rPr>
      <w:rFonts w:ascii="Cambria" w:eastAsiaTheme="minorEastAsia" w:hAnsi="Cambria" w:cstheme="minorBidi"/>
      <w:kern w:val="2"/>
    </w:rPr>
  </w:style>
  <w:style w:type="paragraph" w:styleId="a8">
    <w:name w:val="header"/>
    <w:basedOn w:val="a"/>
    <w:link w:val="Char"/>
    <w:rsid w:val="004D3F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D3FFE"/>
    <w:rPr>
      <w:rFonts w:ascii="宋体" w:hAnsi="宋体" w:cs="宋体"/>
      <w:sz w:val="18"/>
      <w:szCs w:val="18"/>
    </w:rPr>
  </w:style>
  <w:style w:type="paragraph" w:styleId="a9">
    <w:name w:val="footer"/>
    <w:basedOn w:val="a"/>
    <w:link w:val="Char0"/>
    <w:rsid w:val="004D3FFE"/>
    <w:pPr>
      <w:tabs>
        <w:tab w:val="center" w:pos="4153"/>
        <w:tab w:val="right" w:pos="8306"/>
      </w:tabs>
      <w:snapToGrid w:val="0"/>
    </w:pPr>
    <w:rPr>
      <w:sz w:val="18"/>
      <w:szCs w:val="18"/>
    </w:rPr>
  </w:style>
  <w:style w:type="character" w:customStyle="1" w:styleId="Char0">
    <w:name w:val="页脚 Char"/>
    <w:basedOn w:val="a0"/>
    <w:link w:val="a9"/>
    <w:rsid w:val="004D3FFE"/>
    <w:rPr>
      <w:rFonts w:ascii="宋体" w:hAnsi="宋体" w:cs="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454</Words>
  <Characters>2590</Characters>
  <Application>Microsoft Office Word</Application>
  <DocSecurity>0</DocSecurity>
  <Lines>21</Lines>
  <Paragraphs>6</Paragraphs>
  <ScaleCrop>false</ScaleCrop>
  <Company>Chinese ORG</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Chinese User</cp:lastModifiedBy>
  <cp:revision>8</cp:revision>
  <dcterms:created xsi:type="dcterms:W3CDTF">2021-11-09T08:48:00Z</dcterms:created>
  <dcterms:modified xsi:type="dcterms:W3CDTF">2022-03-23T05:10:00Z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516028B77E6D4FE0A0CF77D1F132B25C</vt:lpwstr>
  </property>
</Properties>
</file>