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市场营销专业导引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》教学大纲</w:t>
      </w:r>
    </w:p>
    <w:p>
      <w:pPr>
        <w:autoSpaceDE w:val="0"/>
        <w:autoSpaceDN w:val="0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ind w:firstLine="562" w:firstLineChars="200"/>
        <w:jc w:val="left"/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  <w:t>一、课程基本信息</w:t>
      </w:r>
    </w:p>
    <w:tbl>
      <w:tblPr>
        <w:tblStyle w:val="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/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市场营销专业导引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color w:val="000000"/>
                <w:kern w:val="0"/>
                <w:sz w:val="20"/>
                <w:szCs w:val="21"/>
              </w:rPr>
            </w:pPr>
            <w:r>
              <w:rPr>
                <w:rStyle w:val="6"/>
                <w:rFonts w:cs="Segoe UI" w:asciiTheme="minorEastAsia" w:hAnsiTheme="minorEastAsia" w:eastAsiaTheme="minorEastAsia"/>
                <w:sz w:val="21"/>
                <w:szCs w:val="21"/>
                <w:lang w:val="en" w:eastAsia="zh-Hans"/>
              </w:rPr>
              <w:t xml:space="preserve">Professional guidance in </w:t>
            </w:r>
            <w:r>
              <w:rPr>
                <w:rStyle w:val="6"/>
                <w:rFonts w:hint="eastAsia" w:cs="Segoe UI" w:asciiTheme="minorEastAsia" w:hAnsiTheme="minorEastAsia" w:eastAsiaTheme="minorEastAsia"/>
                <w:sz w:val="21"/>
                <w:szCs w:val="21"/>
                <w:lang w:val="en-US" w:eastAsia="zh-CN"/>
              </w:rPr>
              <w:t>marketing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J38B103B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查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PMingLiU"/>
                <w:b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  <w:lang w:val="en-US" w:eastAsia="zh-CN"/>
              </w:rPr>
              <w:t>0.5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实验学时</w:t>
            </w:r>
            <w:r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实训学时</w:t>
            </w:r>
            <w:r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 xml:space="preserve">/ </w:t>
            </w: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实践学时</w:t>
            </w:r>
            <w:r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b/>
                <w:color w:val="000000"/>
                <w:kern w:val="0"/>
                <w:sz w:val="20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PMingLiU"/>
                <w:color w:val="000000"/>
                <w:kern w:val="0"/>
                <w:sz w:val="20"/>
                <w:szCs w:val="21"/>
              </w:rPr>
              <w:t>商学院</w:t>
            </w:r>
          </w:p>
        </w:tc>
      </w:tr>
    </w:tbl>
    <w:p>
      <w:pPr>
        <w:autoSpaceDE w:val="0"/>
        <w:autoSpaceDN w:val="0"/>
        <w:jc w:val="left"/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二、课程简介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市场营销专业导引》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市场营销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专业的前导性专业课程，是后续专业课程学习的重要基础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。课程通过对市场营销专业定位、培养方案、学习规划及未来就业前景和领域的介绍，使学生了解本专业的基本情况，明确在一定阶段内专业学习的主要任务，对本专业的概貌有一个系统的了解，对进一步学习专业知识起到“导航”作用。课程通过逐步引导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激发学生的学习动机，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帮助学生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树立正确的专业思想和学习观，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培养学生的专业意识，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使其明确大学阶段的专业学习目标和努力方向。</w:t>
      </w:r>
    </w:p>
    <w:p>
      <w:pPr>
        <w:autoSpaceDE w:val="0"/>
        <w:autoSpaceDN w:val="0"/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autoSpaceDE w:val="0"/>
        <w:autoSpaceDN w:val="0"/>
        <w:ind w:firstLine="562" w:firstLineChars="200"/>
        <w:jc w:val="left"/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  <w:t>三、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  <w:t>课程教学目标</w:t>
      </w:r>
    </w:p>
    <w:tbl>
      <w:tblPr>
        <w:tblStyle w:val="3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支撑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毕业要求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autoSpaceDE w:val="0"/>
              <w:autoSpaceDN w:val="0"/>
              <w:jc w:val="left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支撑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知</w:t>
            </w:r>
          </w:p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识</w:t>
            </w:r>
          </w:p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目</w:t>
            </w:r>
          </w:p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目标1：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掌握市场营销专业必需的基础知识和专业知识、原理、方法和技术等，了解市场营销专业及相关领域的发展趋势和学科前沿，形成合理的整体性知识结构。</w:t>
            </w:r>
          </w:p>
          <w:p>
            <w:pPr>
              <w:tabs>
                <w:tab w:val="left" w:pos="1440"/>
              </w:tabs>
              <w:autoSpaceDE w:val="0"/>
              <w:autoSpaceDN w:val="0"/>
              <w:spacing w:line="240" w:lineRule="auto"/>
              <w:jc w:val="left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1了解市场营销的发展历程、学科前沿和发展趋势，了解相关政策法规，认识市场营销在经济与社会发展中的重要地位与作用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1.专业知识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34" w:type="dxa"/>
            <w:vMerge w:val="restart"/>
            <w:vAlign w:val="center"/>
          </w:tcPr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能</w:t>
            </w:r>
          </w:p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力</w:t>
            </w:r>
          </w:p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目</w:t>
            </w:r>
          </w:p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工作有全面的认识，能够识别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市场营销工作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所需的知识体系，树立专业思想，理解职业规范，为后续专业课的开展打下良好基础。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5.2熟悉经济社会发展趋势与热点问题，具备吃苦耐劳的精神和熟练运用外语、计算机服务工作的能力。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shd w:val="clear" w:color="auto" w:fill="FFFFFF"/>
              <w:autoSpaceDE w:val="0"/>
              <w:autoSpaceDN w:val="0"/>
              <w:spacing w:before="75" w:after="75"/>
              <w:ind w:right="7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5.专业与社会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  <w:p>
            <w:pPr>
              <w:tabs>
                <w:tab w:val="left" w:pos="1440"/>
              </w:tabs>
              <w:autoSpaceDE w:val="0"/>
              <w:autoSpaceDN w:val="0"/>
              <w:jc w:val="center"/>
              <w:outlineLvl w:val="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专业素质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目标3：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具备家国情怀、良好的职业道德操守，遵纪守法；能够在社会实践中理解并遵守市场营销职业道德和行为规范，履行责任。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目标4：</w:t>
            </w:r>
          </w:p>
          <w:p>
            <w:pPr>
              <w:tabs>
                <w:tab w:val="left" w:pos="1440"/>
              </w:tabs>
              <w:autoSpaceDE w:val="0"/>
              <w:autoSpaceDN w:val="0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形成良好的专业思维模式和学习方法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，树立专业思想和学习观，能够科学制定大学规划和职业生涯规划。</w:t>
            </w:r>
          </w:p>
        </w:tc>
        <w:tc>
          <w:tcPr>
            <w:tcW w:w="27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6.1具备家国情怀、良好的职业道德操守，遵纪守法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8.1具有较强的自主学习、知识更新与积累能力和终身学习意识、社会认知和自我认知能力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职业规范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8.终身学习</w:t>
            </w:r>
          </w:p>
        </w:tc>
      </w:tr>
    </w:tbl>
    <w:p>
      <w:pPr>
        <w:autoSpaceDE w:val="0"/>
        <w:autoSpaceDN w:val="0"/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autoSpaceDE w:val="0"/>
        <w:autoSpaceDN w:val="0"/>
        <w:ind w:firstLine="562" w:firstLineChars="200"/>
        <w:jc w:val="left"/>
        <w:rPr>
          <w:rFonts w:ascii="Times New Roman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  <w:lang w:val="en-US" w:eastAsia="zh-CN" w:bidi="ar-SA"/>
        </w:rPr>
        <w:t>四、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  <w:t>课程主要教学内容、学时安排及教学策略</w:t>
      </w:r>
    </w:p>
    <w:tbl>
      <w:tblPr>
        <w:tblStyle w:val="3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25"/>
        <w:gridCol w:w="5012"/>
        <w:gridCol w:w="1438"/>
        <w:gridCol w:w="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教学模块 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5012" w:type="dxa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主要教学内容与策略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学习任务安排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专业发展历程及现状</w:t>
            </w:r>
          </w:p>
        </w:tc>
        <w:tc>
          <w:tcPr>
            <w:tcW w:w="5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01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  <w:lang w:val="en-US" w:eastAsia="zh-CN"/>
              </w:rPr>
              <w:t>市场营销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专业的学科发展历程和发展方向；本校</w:t>
            </w:r>
            <w:r>
              <w:rPr>
                <w:rFonts w:hint="eastAsia" w:asciiTheme="minorEastAsia" w:hAnsiTheme="minorEastAsia"/>
                <w:bCs/>
                <w:color w:val="333333"/>
                <w:sz w:val="21"/>
                <w:szCs w:val="21"/>
                <w:lang w:val="en-US" w:eastAsia="zh-CN"/>
              </w:rPr>
              <w:t>市场营销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专业发展历程及现状、专业培养目标、专业教学资源、专业师资队伍建设情况等。</w:t>
            </w:r>
          </w:p>
          <w:p>
            <w:pPr>
              <w:adjustRightInd w:val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难点：</w:t>
            </w:r>
            <w:r>
              <w:t>市场营销专业的人才培养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t>介绍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专业毕业要求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系统观、全局观、专业认同感</w:t>
            </w:r>
          </w:p>
          <w:p>
            <w:pPr>
              <w:autoSpaceDE w:val="0"/>
              <w:autoSpaceDN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教学方法与策略：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以PPT课件线下教学为主讲解基本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，辅之以案例、视频加深学生对基本概念的理解；课堂中设置问题，引导学生思考、讨论，鼓励学生踊跃发言以激发学生兴趣和热情。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查阅资料了解专业的发展现状。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师讲授、学生发言。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复习巩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目标1</w:t>
            </w:r>
          </w:p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目标2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97" w:type="dxa"/>
            <w:vAlign w:val="center"/>
          </w:tcPr>
          <w:p>
            <w:pPr>
              <w:autoSpaceDE w:val="0"/>
              <w:autoSpaceDN w:val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专业课程体系及学习要求</w:t>
            </w:r>
          </w:p>
        </w:tc>
        <w:tc>
          <w:tcPr>
            <w:tcW w:w="5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012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市场营销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专业教学计划及课程体系；专业核心课程及学习要求；专业选修课程及选课要求；专业实践课程及实践环节。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难点：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市场营销专业教学计划及课程安排；专业课学习要求。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线下教学。课堂主要采用思维导图，梳理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市场营销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专业课程设置逻辑，明确专业技能的培养路径，引发学生深入思考，提升专业技能和教学效果。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：学习教师发布的课程资料</w:t>
            </w:r>
          </w:p>
          <w:p>
            <w:pPr>
              <w:adjustRightIn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：讨论、提问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：完成相关作业和课后讨论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目标1</w:t>
            </w:r>
          </w:p>
          <w:p>
            <w:pPr>
              <w:autoSpaceDE w:val="0"/>
              <w:autoSpaceDN w:val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目标4</w:t>
            </w:r>
          </w:p>
          <w:p>
            <w:pPr>
              <w:autoSpaceDE w:val="0"/>
              <w:autoSpaceDN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考研升学及学科竞赛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12" w:type="dxa"/>
            <w:vAlign w:val="center"/>
          </w:tcPr>
          <w:p>
            <w:pPr>
              <w:adjustRightInd w:val="0"/>
              <w:jc w:val="both"/>
              <w:rPr>
                <w:rFonts w:hint="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专业的深造通道；考研的准备和流程；留学的流程和注意事项；学科竞赛的种类、举办时间、内容和参赛要求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jc w:val="both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专业的考研准备和流程；学科竞赛的种类、举办时间、内容和参赛要求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jc w:val="both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团队合作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Bidi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教学以课堂讲授为主，并辅助以课堂讨论。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：学习教师发布的课程资料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：讨论、提问</w:t>
            </w:r>
          </w:p>
          <w:p>
            <w:pP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：完成相关作业和课后讨论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97" w:type="dxa"/>
            <w:vAlign w:val="center"/>
          </w:tcPr>
          <w:p>
            <w:pPr>
              <w:autoSpaceDE w:val="0"/>
              <w:autoSpaceDN w:val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市场营销专业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职业生涯规划</w:t>
            </w:r>
          </w:p>
        </w:tc>
        <w:tc>
          <w:tcPr>
            <w:tcW w:w="5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012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重点：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了解市场营销专业毕业生的职业生涯发展。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引导学生掌握学习方法，立足自身现状，合理制定大学学习规划和职业生涯规划，树立未来远大目标。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难点：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如何科学地制定学习和职业规划？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树立终身学习理念，学以致用、用以促学，一步一个脚印，实现个人全面发展，实现中华民族伟大复兴。</w:t>
            </w:r>
          </w:p>
          <w:p>
            <w:pPr>
              <w:spacing w:beforeAutospacing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线下教学。课堂主要运用案例分析法辅以启发式提问开展学习方法的讨论，引导学生独立思考问题和科学审视自身现状，合理制定学习规划。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：学习教师发布的课程资料</w:t>
            </w:r>
          </w:p>
          <w:p>
            <w:pPr>
              <w:adjustRightIn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：讨论、提问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：完成相关作业和课后讨论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ind w:firstLine="562" w:firstLineChars="200"/>
        <w:jc w:val="left"/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  <w:t>学生学习成效评估方式及标准</w:t>
      </w:r>
    </w:p>
    <w:p>
      <w:pPr>
        <w:spacing w:line="360" w:lineRule="auto"/>
        <w:ind w:firstLine="281" w:firstLineChars="1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本课程在人才培养方案中的考核形式是考查，课程考核成绩评定由平时成绩和期末考核两部分构成。学生的最终成绩采用五级制，总评分数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90～100分评定为优秀，80～89分为良好，70～79分为中等，60～69分评定为及格，60分以下则评定为不及格。</w:t>
      </w:r>
    </w:p>
    <w:p>
      <w:pPr>
        <w:spacing w:line="360" w:lineRule="auto"/>
        <w:ind w:firstLine="420" w:firstLineChars="200"/>
        <w:rPr>
          <w:rFonts w:hint="default" w:ascii="Times New Roman" w:hAnsi="宋体" w:eastAsia="宋体" w:cs="Times New Roman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考勤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课堂表现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）和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平时作业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）三个部分。评分标准如下表：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422" w:firstLineChars="200"/>
              <w:rPr>
                <w:rFonts w:hint="eastAsia" w:asci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6873" w:type="dxa"/>
            <w:vAlign w:val="center"/>
          </w:tcPr>
          <w:p>
            <w:pPr>
              <w:widowControl w:val="0"/>
              <w:autoSpaceDE w:val="0"/>
              <w:autoSpaceDN w:val="0"/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3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1.考勤；2.课堂表现；3.平时作业。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>
            <w:pPr>
              <w:widowControl w:val="0"/>
              <w:autoSpaceDE w:val="0"/>
              <w:autoSpaceDN w:val="0"/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9</w:t>
            </w:r>
            <w:r>
              <w:rPr>
                <w:color w:val="333333"/>
                <w:sz w:val="21"/>
                <w:szCs w:val="21"/>
              </w:rPr>
              <w:t>0-100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873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1.无无故迟到、早退、旷课现象。</w:t>
            </w:r>
          </w:p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2.课堂听讲认真、积极参与讨论、主动回答问题、按照要求完成各项课堂任务。</w:t>
            </w:r>
          </w:p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3.平时作业符合授课教师要求，9</w:t>
            </w:r>
            <w:r>
              <w:rPr>
                <w:color w:val="333333"/>
                <w:sz w:val="21"/>
                <w:szCs w:val="21"/>
              </w:rPr>
              <w:t>0%</w:t>
            </w:r>
            <w:r>
              <w:rPr>
                <w:rFonts w:hint="eastAsia"/>
                <w:color w:val="333333"/>
                <w:sz w:val="21"/>
                <w:szCs w:val="21"/>
              </w:rPr>
              <w:t>内容回答合理，按时提交。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>
            <w:pPr>
              <w:widowControl w:val="0"/>
              <w:autoSpaceDE w:val="0"/>
              <w:autoSpaceDN w:val="0"/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8</w:t>
            </w:r>
            <w:r>
              <w:rPr>
                <w:color w:val="333333"/>
                <w:sz w:val="21"/>
                <w:szCs w:val="21"/>
              </w:rPr>
              <w:t>0-90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873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1.迟到、早退、旷课现象最多出现1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次，或无缺勤、迟到早退现象。</w:t>
            </w:r>
          </w:p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2.课堂听讲认真、能主动参与讨论、积极回答问题、基本完成课堂任务。</w:t>
            </w:r>
          </w:p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3.平时作业符合授课教师要求，8</w:t>
            </w:r>
            <w:r>
              <w:rPr>
                <w:color w:val="333333"/>
                <w:sz w:val="21"/>
                <w:szCs w:val="21"/>
              </w:rPr>
              <w:t>0%</w:t>
            </w:r>
            <w:r>
              <w:rPr>
                <w:rFonts w:hint="eastAsia"/>
                <w:color w:val="333333"/>
                <w:sz w:val="21"/>
                <w:szCs w:val="21"/>
              </w:rPr>
              <w:t>内容回答合理，按时提交。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>
            <w:pPr>
              <w:widowControl w:val="0"/>
              <w:autoSpaceDE w:val="0"/>
              <w:autoSpaceDN w:val="0"/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color w:val="333333"/>
                <w:sz w:val="21"/>
                <w:szCs w:val="21"/>
              </w:rPr>
              <w:t>0-79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873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1.迟到、早退、旷课现象最多出现3</w:t>
            </w:r>
            <w:r>
              <w:rPr>
                <w:color w:val="333333"/>
                <w:sz w:val="21"/>
                <w:szCs w:val="21"/>
              </w:rPr>
              <w:t>-4</w:t>
            </w:r>
            <w:r>
              <w:rPr>
                <w:rFonts w:hint="eastAsia"/>
                <w:color w:val="333333"/>
                <w:sz w:val="21"/>
                <w:szCs w:val="21"/>
              </w:rPr>
              <w:t>次，或无缺勤、迟到早退现象。</w:t>
            </w:r>
          </w:p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2.课堂听讲认真、在老师引领下能主动参与讨论并回答问题、基本完成课堂任务。</w:t>
            </w:r>
          </w:p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3.平时作业比较符合授课教师要求，7</w:t>
            </w:r>
            <w:r>
              <w:rPr>
                <w:color w:val="333333"/>
                <w:sz w:val="21"/>
                <w:szCs w:val="21"/>
              </w:rPr>
              <w:t>0%</w:t>
            </w:r>
            <w:r>
              <w:rPr>
                <w:rFonts w:hint="eastAsia"/>
                <w:color w:val="333333"/>
                <w:sz w:val="21"/>
                <w:szCs w:val="21"/>
              </w:rPr>
              <w:t>内容回答合理，基本按时提交。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>
            <w:pPr>
              <w:widowControl w:val="0"/>
              <w:autoSpaceDE w:val="0"/>
              <w:autoSpaceDN w:val="0"/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0-69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873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1.迟到、早退、旷课现象最多出现5</w:t>
            </w:r>
            <w:r>
              <w:rPr>
                <w:color w:val="333333"/>
                <w:sz w:val="21"/>
                <w:szCs w:val="21"/>
              </w:rPr>
              <w:t>-6</w:t>
            </w:r>
            <w:r>
              <w:rPr>
                <w:rFonts w:hint="eastAsia"/>
                <w:color w:val="333333"/>
                <w:sz w:val="21"/>
                <w:szCs w:val="21"/>
              </w:rPr>
              <w:t>次，或无缺勤、迟到早退现象。</w:t>
            </w:r>
          </w:p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2.课堂听讲一般、在老师多次引导下才参与讨论、在师生帮助下基本完成课堂任务。</w:t>
            </w:r>
          </w:p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3.平时作业基本符合授课教师要求，6</w:t>
            </w:r>
            <w:r>
              <w:rPr>
                <w:color w:val="333333"/>
                <w:sz w:val="21"/>
                <w:szCs w:val="21"/>
              </w:rPr>
              <w:t>0%</w:t>
            </w:r>
            <w:r>
              <w:rPr>
                <w:rFonts w:hint="eastAsia"/>
                <w:color w:val="333333"/>
                <w:sz w:val="21"/>
                <w:szCs w:val="21"/>
              </w:rPr>
              <w:t>内容回答合理，基本按时提交。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>
            <w:pPr>
              <w:widowControl w:val="0"/>
              <w:autoSpaceDE w:val="0"/>
              <w:autoSpaceDN w:val="0"/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分以下</w:t>
            </w:r>
          </w:p>
        </w:tc>
        <w:tc>
          <w:tcPr>
            <w:tcW w:w="6873" w:type="dxa"/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1.经常无故迟到、早退、旷课。 </w:t>
            </w:r>
          </w:p>
          <w:p>
            <w:pPr>
              <w:widowControl w:val="0"/>
              <w:autoSpaceDE w:val="0"/>
              <w:autoSpaceDN w:val="0"/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2.课堂不认真听讲，存在睡觉、玩手机、不积极参与讨论。</w:t>
            </w:r>
          </w:p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3.平时作业未按时提交。</w:t>
            </w:r>
          </w:p>
        </w:tc>
      </w:tr>
    </w:tbl>
    <w:p>
      <w:pPr>
        <w:widowControl w:val="0"/>
        <w:autoSpaceDE w:val="0"/>
        <w:autoSpaceDN w:val="0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2.期末课程报告（占总成绩的60%）：采用百分制。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在学期结束后学生完成一篇课程学习总结，字数不少于3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字。评分标准如下表所示：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422" w:firstLineChars="200"/>
              <w:rPr>
                <w:rFonts w:hint="eastAsia" w:asci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6743" w:type="dxa"/>
            <w:vAlign w:val="center"/>
          </w:tcPr>
          <w:p>
            <w:pPr>
              <w:widowControl w:val="0"/>
              <w:autoSpaceDE w:val="0"/>
              <w:autoSpaceDN w:val="0"/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3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课程学习总结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widowControl w:val="0"/>
              <w:autoSpaceDE w:val="0"/>
              <w:autoSpaceDN w:val="0"/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9</w:t>
            </w:r>
            <w:r>
              <w:rPr>
                <w:color w:val="333333"/>
                <w:sz w:val="21"/>
                <w:szCs w:val="21"/>
              </w:rPr>
              <w:t>0-100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743" w:type="dxa"/>
            <w:vAlign w:val="center"/>
          </w:tcPr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课程学习总结结构合理完整、格式整齐美观、内容完善深入、有深刻地自我体会与分析、文字组织流畅、表达准确无误、按时提交。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widowControl w:val="0"/>
              <w:autoSpaceDE w:val="0"/>
              <w:autoSpaceDN w:val="0"/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8</w:t>
            </w:r>
            <w:r>
              <w:rPr>
                <w:color w:val="333333"/>
                <w:sz w:val="21"/>
                <w:szCs w:val="21"/>
              </w:rPr>
              <w:t>0-90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743" w:type="dxa"/>
            <w:vAlign w:val="center"/>
          </w:tcPr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课程学习总结结构比较合理、格式比较整齐、内容比较完善、有比较深入地自我体会与分析、行文流畅、表达准确、按时提交。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widowControl w:val="0"/>
              <w:autoSpaceDE w:val="0"/>
              <w:autoSpaceDN w:val="0"/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color w:val="333333"/>
                <w:sz w:val="21"/>
                <w:szCs w:val="21"/>
              </w:rPr>
              <w:t>0-79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743" w:type="dxa"/>
            <w:vAlign w:val="center"/>
          </w:tcPr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课程学习总结结构基本合理、格式基本整齐、内容一般、有一定程度的自我体会与分析、行文表达一般、基本按时提交。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widowControl w:val="0"/>
              <w:autoSpaceDE w:val="0"/>
              <w:autoSpaceDN w:val="0"/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0-69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</w:p>
        </w:tc>
        <w:tc>
          <w:tcPr>
            <w:tcW w:w="6743" w:type="dxa"/>
            <w:vAlign w:val="center"/>
          </w:tcPr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课程学习总结结构一般、格式不够美观、内容一般、文字表达一般。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widowControl w:val="0"/>
              <w:autoSpaceDE w:val="0"/>
              <w:autoSpaceDN w:val="0"/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</w:rPr>
              <w:t>分以下</w:t>
            </w:r>
          </w:p>
        </w:tc>
        <w:tc>
          <w:tcPr>
            <w:tcW w:w="6743" w:type="dxa"/>
            <w:vAlign w:val="center"/>
          </w:tcPr>
          <w:p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课程学习总结未按时提交，且字数未符合要求。</w:t>
            </w:r>
          </w:p>
        </w:tc>
      </w:tr>
    </w:tbl>
    <w:p/>
    <w:p>
      <w:pPr>
        <w:numPr>
          <w:ilvl w:val="0"/>
          <w:numId w:val="0"/>
        </w:numPr>
        <w:autoSpaceDE w:val="0"/>
        <w:autoSpaceDN w:val="0"/>
        <w:ind w:left="0" w:leftChars="0" w:firstLine="562" w:firstLineChars="200"/>
        <w:jc w:val="left"/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  <w:lang w:val="en-US" w:eastAsia="zh-CN"/>
        </w:rPr>
        <w:t>六、</w:t>
      </w:r>
      <w:r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  <w:t>教学安排及要求</w:t>
      </w:r>
    </w:p>
    <w:tbl>
      <w:tblPr>
        <w:tblStyle w:val="4"/>
        <w:tblpPr w:leftFromText="180" w:rightFromText="180" w:vertAnchor="text" w:horzAnchor="margin" w:tblpY="16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49"/>
        <w:gridCol w:w="6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教学安排事项</w:t>
            </w:r>
          </w:p>
        </w:tc>
        <w:tc>
          <w:tcPr>
            <w:tcW w:w="6146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61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职称：讲师（或其他中级）及以上 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学历（位）：硕士及以上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课程时间</w:t>
            </w:r>
          </w:p>
        </w:tc>
        <w:tc>
          <w:tcPr>
            <w:tcW w:w="61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周次：1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授课地点</w:t>
            </w:r>
          </w:p>
        </w:tc>
        <w:tc>
          <w:tcPr>
            <w:tcW w:w="61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学生辅导</w:t>
            </w:r>
          </w:p>
        </w:tc>
        <w:tc>
          <w:tcPr>
            <w:tcW w:w="61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线上方式及时间安排：企业微信课程群，正常上班时间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线下地点及时间安排：上课前后在授课教室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jc w:val="left"/>
        <w:rPr>
          <w:rFonts w:hint="eastAsia" w:ascii="Times New Roman" w:hAnsi="宋体" w:eastAsia="宋体" w:cs="Times New Roman"/>
          <w:b/>
          <w:color w:val="000000"/>
          <w:kern w:val="0"/>
          <w:sz w:val="28"/>
          <w:szCs w:val="28"/>
        </w:rPr>
      </w:pPr>
    </w:p>
    <w:p/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[1]吴健安、聂元昆：《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市场营销学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》（第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版），高等教育出版社，20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月。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[1]东莞城市学院网站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,https://www.dgcu.edu.cn/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[2]东莞城市学院商学院网站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,http://bs.dgcu.edu.cn/webfile/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]数字营销虚拟仿真实践平台</w:t>
      </w:r>
      <w:r>
        <w:fldChar w:fldCharType="begin"/>
      </w:r>
      <w:r>
        <w:instrText xml:space="preserve"> HYPERLINK "https://fangzhen.ejuster.cn/" </w:instrText>
      </w:r>
      <w:r>
        <w:fldChar w:fldCharType="separate"/>
      </w:r>
      <w:r>
        <w:rPr>
          <w:rFonts w:cs="Times New Roman" w:asciiTheme="minorEastAsia" w:hAnsiTheme="minorEastAsia" w:eastAsiaTheme="minorEastAsia"/>
          <w:sz w:val="21"/>
          <w:szCs w:val="21"/>
        </w:rPr>
        <w:t>fangzhen.ejuster.cn/</w: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end"/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]营销工程与创新研究中心</w:t>
      </w:r>
      <w:r>
        <w:fldChar w:fldCharType="begin"/>
      </w:r>
      <w:r>
        <w:instrText xml:space="preserve"> HYPERLINK "https://www.whueb.com/" </w:instrText>
      </w:r>
      <w:r>
        <w:fldChar w:fldCharType="separate"/>
      </w:r>
      <w:r>
        <w:rPr>
          <w:rFonts w:cs="Times New Roman" w:asciiTheme="minorEastAsia" w:hAnsiTheme="minorEastAsia" w:eastAsiaTheme="minorEastAsia"/>
          <w:sz w:val="21"/>
          <w:szCs w:val="21"/>
        </w:rPr>
        <w:t>www.whueb.com</w: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end"/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市场营销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专业人才培养方案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市场营销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专业课程设置及教学进程计划表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人力资源管理专业课程地图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</w:p>
    <w:p>
      <w:pPr>
        <w:autoSpaceDE w:val="0"/>
        <w:autoSpaceDN w:val="0"/>
        <w:spacing w:line="360" w:lineRule="auto"/>
        <w:ind w:firstLine="5775" w:firstLineChars="2750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</w:p>
    <w:p>
      <w:pPr>
        <w:autoSpaceDE w:val="0"/>
        <w:autoSpaceDN w:val="0"/>
        <w:spacing w:line="360" w:lineRule="auto"/>
        <w:ind w:firstLine="5775" w:firstLineChars="2750"/>
        <w:jc w:val="left"/>
        <w:rPr>
          <w:rFonts w:hint="default" w:ascii="宋体" w:hAnsi="宋体" w:eastAsia="宋体" w:cs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大纲执笔人：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熊瑛</w:t>
      </w:r>
    </w:p>
    <w:p>
      <w:pPr>
        <w:autoSpaceDE w:val="0"/>
        <w:autoSpaceDN w:val="0"/>
        <w:spacing w:line="360" w:lineRule="auto"/>
        <w:ind w:firstLine="5775" w:firstLineChars="2750"/>
        <w:jc w:val="left"/>
        <w:rPr>
          <w:rFonts w:hint="default" w:ascii="宋体" w:hAnsi="宋体" w:eastAsia="宋体" w:cs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讨论参与人: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康美妮</w:t>
      </w:r>
    </w:p>
    <w:p>
      <w:pPr>
        <w:autoSpaceDE w:val="0"/>
        <w:autoSpaceDN w:val="0"/>
        <w:spacing w:line="360" w:lineRule="auto"/>
        <w:ind w:firstLine="5775" w:firstLineChars="2750"/>
        <w:jc w:val="left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系（教研室）主任：罗芳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 xml:space="preserve"> </w:t>
      </w:r>
    </w:p>
    <w:p>
      <w:pPr>
        <w:ind w:firstLine="5880" w:firstLineChars="28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学院（部）审核人：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罗卫国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BFB51"/>
    <w:multiLevelType w:val="singleLevel"/>
    <w:tmpl w:val="01CBFB5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zMzZTQ3NDc3YWJjMWY2OWY0NzI3NmM3YmI1OTcifQ=="/>
  </w:docVars>
  <w:rsids>
    <w:rsidRoot w:val="029D2763"/>
    <w:rsid w:val="01FF3BC3"/>
    <w:rsid w:val="02217FDE"/>
    <w:rsid w:val="029D2763"/>
    <w:rsid w:val="02D33DAC"/>
    <w:rsid w:val="054F44EF"/>
    <w:rsid w:val="0C5B40EC"/>
    <w:rsid w:val="0CDB571B"/>
    <w:rsid w:val="0EE41BF3"/>
    <w:rsid w:val="0F65396A"/>
    <w:rsid w:val="0FAF74C9"/>
    <w:rsid w:val="13B861E6"/>
    <w:rsid w:val="1D083E1C"/>
    <w:rsid w:val="25955156"/>
    <w:rsid w:val="25F25669"/>
    <w:rsid w:val="29C63095"/>
    <w:rsid w:val="2EEE0998"/>
    <w:rsid w:val="2F96498C"/>
    <w:rsid w:val="303243C9"/>
    <w:rsid w:val="32943604"/>
    <w:rsid w:val="38BD5663"/>
    <w:rsid w:val="3A844811"/>
    <w:rsid w:val="3B6D08DD"/>
    <w:rsid w:val="3E393BC1"/>
    <w:rsid w:val="40662A84"/>
    <w:rsid w:val="41461DF0"/>
    <w:rsid w:val="4AD33960"/>
    <w:rsid w:val="4F4977F9"/>
    <w:rsid w:val="54C3004D"/>
    <w:rsid w:val="56AB15B6"/>
    <w:rsid w:val="584E0792"/>
    <w:rsid w:val="5B172EA1"/>
    <w:rsid w:val="5B4B48F9"/>
    <w:rsid w:val="5DA16A52"/>
    <w:rsid w:val="5FFB65B6"/>
    <w:rsid w:val="655B1BDC"/>
    <w:rsid w:val="688E0999"/>
    <w:rsid w:val="697B6C17"/>
    <w:rsid w:val="6B144D07"/>
    <w:rsid w:val="6D505D9E"/>
    <w:rsid w:val="6E5A5127"/>
    <w:rsid w:val="6F174DC6"/>
    <w:rsid w:val="736A712E"/>
    <w:rsid w:val="75B9544D"/>
    <w:rsid w:val="7C9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s-alignment-elem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3053</Words>
  <Characters>3303</Characters>
  <Lines>0</Lines>
  <Paragraphs>0</Paragraphs>
  <TotalTime>11</TotalTime>
  <ScaleCrop>false</ScaleCrop>
  <LinksUpToDate>false</LinksUpToDate>
  <CharactersWithSpaces>3366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2023-07-22T13:54:00Z</dcterms:created>
  <dc:creator>熊瑛</dc:creator>
  <cp:lastModifiedBy>妮可</cp:lastModifiedBy>
  <dcterms:modified xsi:type="dcterms:W3CDTF">2023-08-31T03:47:14Z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E4D393EB52EA4D90B0D9D39C1131D4A3_13</vt:lpwstr>
  </property>
</Properties>
</file>