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《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val="en-US" w:eastAsia="zh-CN"/>
        </w:rPr>
        <w:t>市场营销专业导引</w:t>
      </w:r>
      <w:r>
        <w:rPr>
          <w:rFonts w:ascii="宋体" w:hAnsi="宋体" w:eastAsia="宋体" w:cs="宋体"/>
          <w:b/>
          <w:color w:val="000000"/>
          <w:kern w:val="0"/>
          <w:sz w:val="32"/>
          <w:szCs w:val="32"/>
        </w:rPr>
        <w:t>》教学大纲</w:t>
      </w:r>
    </w:p>
    <w:p>
      <w:pPr>
        <w:autoSpaceDE w:val="0"/>
        <w:autoSpaceDN w:val="0"/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</w:rPr>
      </w:pPr>
    </w:p>
    <w:p>
      <w:pPr>
        <w:autoSpaceDE w:val="0"/>
        <w:autoSpaceDN w:val="0"/>
        <w:ind w:firstLine="562" w:firstLineChars="200"/>
        <w:jc w:val="left"/>
        <w:rPr>
          <w:rFonts w:ascii="Times New Roman" w:hAnsi="宋体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  <w:t>一、课程基本信息</w:t>
      </w:r>
    </w:p>
    <w:tbl>
      <w:tblPr>
        <w:tblStyle w:val="4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1"/>
              </w:rPr>
              <w:t>专业课程</w:t>
            </w:r>
          </w:p>
        </w:tc>
        <w:tc>
          <w:tcPr>
            <w:tcW w:w="121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1"/>
                <w:lang w:val="en-US" w:eastAsia="zh-CN"/>
              </w:rPr>
              <w:t>必修</w:t>
            </w:r>
          </w:p>
        </w:tc>
        <w:tc>
          <w:tcPr>
            <w:tcW w:w="160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Times New Roman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1"/>
                <w:lang w:val="en-US" w:eastAsia="zh-CN"/>
              </w:rPr>
              <w:t>理论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市场营销专业导引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color w:val="000000"/>
                <w:kern w:val="0"/>
                <w:sz w:val="20"/>
                <w:szCs w:val="21"/>
              </w:rPr>
            </w:pPr>
            <w:r>
              <w:rPr>
                <w:rStyle w:val="6"/>
                <w:rFonts w:cs="Segoe UI" w:asciiTheme="minorEastAsia" w:hAnsiTheme="minorEastAsia" w:eastAsiaTheme="minorEastAsia"/>
                <w:sz w:val="21"/>
                <w:szCs w:val="21"/>
                <w:lang w:val="en" w:eastAsia="zh-Hans"/>
              </w:rPr>
              <w:t xml:space="preserve">Professional guidance in </w:t>
            </w:r>
            <w:r>
              <w:rPr>
                <w:rStyle w:val="6"/>
                <w:rFonts w:hint="eastAsia" w:cs="Segoe UI" w:asciiTheme="minorEastAsia" w:hAnsiTheme="minorEastAsia" w:eastAsiaTheme="minorEastAsia"/>
                <w:sz w:val="21"/>
                <w:szCs w:val="21"/>
                <w:lang w:val="en-US" w:eastAsia="zh-CN"/>
              </w:rPr>
              <w:t>marketing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J38B103B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  <w:lang w:val="en-US" w:eastAsia="zh-CN"/>
              </w:rPr>
              <w:t>查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52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PMingLiU"/>
                <w:b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  <w:lang w:val="en-US" w:eastAsia="zh-CN"/>
              </w:rPr>
              <w:t>0.5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实验学时</w:t>
            </w:r>
            <w:r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实训学时</w:t>
            </w:r>
            <w:r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 xml:space="preserve">/ </w:t>
            </w: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实践学时</w:t>
            </w:r>
            <w:r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4219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b/>
                <w:color w:val="000000"/>
                <w:kern w:val="0"/>
                <w:sz w:val="20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PMingLiU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PMingLiU"/>
                <w:color w:val="000000"/>
                <w:kern w:val="0"/>
                <w:sz w:val="20"/>
                <w:szCs w:val="21"/>
              </w:rPr>
              <w:t>商学院</w:t>
            </w:r>
          </w:p>
        </w:tc>
      </w:tr>
    </w:tbl>
    <w:p>
      <w:pPr>
        <w:autoSpaceDE w:val="0"/>
        <w:autoSpaceDN w:val="0"/>
        <w:jc w:val="left"/>
        <w:rPr>
          <w:rFonts w:ascii="Times New Roman" w:hAnsi="宋体" w:eastAsia="宋体" w:cs="Times New Roman"/>
          <w:b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</w:rPr>
        <w:t>二、课程简介</w:t>
      </w:r>
    </w:p>
    <w:p>
      <w:pPr>
        <w:spacing w:line="360" w:lineRule="auto"/>
        <w:ind w:firstLine="420" w:firstLineChars="200"/>
        <w:jc w:val="both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</w:rPr>
        <w:t>《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市场营销专业导引》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市场营销</w:t>
      </w:r>
      <w:r>
        <w:rPr>
          <w:rFonts w:hint="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专业的前导性专业课程，是后续专业课程学习的重要基础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。课程通过对市场营销专业定位、培养方案、学习规划及未来就业前景和领域的介绍，使学生了解本专业的基本情况，明确在一定阶段内专业学习的主要任务，对本专业的概貌有一个系统的了解，对进一步学习专业知识起到“导航”作用。课程通过逐步引导，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激发学生的学习动机，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帮助学生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树立正确的专业思想和学习观，</w:t>
      </w:r>
      <w: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培养学生的专业意识，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使其明确大学阶段的专业学习目标和努力方向。</w:t>
      </w:r>
    </w:p>
    <w:p>
      <w:pPr>
        <w:autoSpaceDE w:val="0"/>
        <w:autoSpaceDN w:val="0"/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autoSpaceDE w:val="0"/>
        <w:autoSpaceDN w:val="0"/>
        <w:ind w:firstLine="562" w:firstLineChars="200"/>
        <w:jc w:val="left"/>
        <w:rPr>
          <w:rFonts w:ascii="Times New Roman" w:hAnsi="宋体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  <w:lang w:val="en-US" w:eastAsia="zh-CN" w:bidi="ar-SA"/>
        </w:rPr>
        <w:t>三、</w:t>
      </w: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  <w:t>课程教学目标</w:t>
      </w:r>
    </w:p>
    <w:tbl>
      <w:tblPr>
        <w:tblStyle w:val="3"/>
        <w:tblpPr w:leftFromText="180" w:rightFromText="180" w:vertAnchor="text" w:horzAnchor="margin" w:tblpY="174"/>
        <w:tblW w:w="88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827"/>
        <w:gridCol w:w="2721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4361" w:type="dxa"/>
            <w:gridSpan w:val="2"/>
            <w:vAlign w:val="center"/>
          </w:tcPr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课程教学目标</w:t>
            </w:r>
          </w:p>
        </w:tc>
        <w:tc>
          <w:tcPr>
            <w:tcW w:w="2721" w:type="dxa"/>
            <w:vAlign w:val="center"/>
          </w:tcPr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支撑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毕业要求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指标点</w:t>
            </w:r>
          </w:p>
        </w:tc>
        <w:tc>
          <w:tcPr>
            <w:tcW w:w="1815" w:type="dxa"/>
            <w:vAlign w:val="center"/>
          </w:tcPr>
          <w:p>
            <w:pPr>
              <w:tabs>
                <w:tab w:val="left" w:pos="1440"/>
              </w:tabs>
              <w:autoSpaceDE w:val="0"/>
              <w:autoSpaceDN w:val="0"/>
              <w:jc w:val="left"/>
              <w:outlineLvl w:val="0"/>
              <w:rPr>
                <w:rFonts w:hint="default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支撑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毕业要求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534" w:type="dxa"/>
            <w:vAlign w:val="center"/>
          </w:tcPr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知</w:t>
            </w:r>
          </w:p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识</w:t>
            </w:r>
          </w:p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目</w:t>
            </w:r>
          </w:p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标</w:t>
            </w:r>
          </w:p>
        </w:tc>
        <w:tc>
          <w:tcPr>
            <w:tcW w:w="3827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uto"/>
              <w:ind w:right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spacing w:line="240" w:lineRule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目标1：</w:t>
            </w:r>
          </w:p>
          <w:p>
            <w:pPr>
              <w:numPr>
                <w:ilvl w:val="0"/>
                <w:numId w:val="0"/>
              </w:numPr>
              <w:tabs>
                <w:tab w:val="left" w:pos="312"/>
              </w:tabs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掌握市场营销专业必需的基础知识和专业知识、原理、方法和技术等，了解市场营销专业及相关领域的发展趋势和学科前沿，形成合理的整体性知识结构。</w:t>
            </w:r>
          </w:p>
          <w:p>
            <w:pPr>
              <w:tabs>
                <w:tab w:val="left" w:pos="1440"/>
              </w:tabs>
              <w:autoSpaceDE w:val="0"/>
              <w:autoSpaceDN w:val="0"/>
              <w:spacing w:line="240" w:lineRule="auto"/>
              <w:jc w:val="left"/>
              <w:outlineLvl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1了解市场营销的发展历程、学科前沿和发展趋势，了解相关政策法规，认识市场营销在经济与社会发展中的重要地位与作用</w:t>
            </w:r>
          </w:p>
        </w:tc>
        <w:tc>
          <w:tcPr>
            <w:tcW w:w="1815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1.专业知识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534" w:type="dxa"/>
            <w:vMerge w:val="restart"/>
            <w:vAlign w:val="center"/>
          </w:tcPr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能</w:t>
            </w:r>
          </w:p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力</w:t>
            </w:r>
          </w:p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目</w:t>
            </w:r>
          </w:p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标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目标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对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工作有全面的认识，能够识别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市场营销工作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所需的知识体系，树立专业思想，理解职业规范，为后续专业课的开展打下良好基础。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272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5.2熟悉经济社会发展趋势与热点问题，具备吃苦耐劳的精神和熟练运用外语、计算机服务工作的能力。</w:t>
            </w:r>
          </w:p>
        </w:tc>
        <w:tc>
          <w:tcPr>
            <w:tcW w:w="1815" w:type="dxa"/>
            <w:vMerge w:val="restart"/>
            <w:vAlign w:val="center"/>
          </w:tcPr>
          <w:p>
            <w:pPr>
              <w:shd w:val="clear" w:color="auto" w:fill="FFFFFF"/>
              <w:autoSpaceDE w:val="0"/>
              <w:autoSpaceDN w:val="0"/>
              <w:spacing w:before="75" w:after="75"/>
              <w:ind w:right="75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5.专业与社会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34" w:type="dxa"/>
            <w:vAlign w:val="center"/>
          </w:tcPr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b/>
                <w:kern w:val="0"/>
                <w:sz w:val="22"/>
              </w:rPr>
            </w:pPr>
          </w:p>
          <w:p>
            <w:pPr>
              <w:tabs>
                <w:tab w:val="left" w:pos="1440"/>
              </w:tabs>
              <w:autoSpaceDE w:val="0"/>
              <w:autoSpaceDN w:val="0"/>
              <w:jc w:val="center"/>
              <w:outlineLvl w:val="0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</w:rPr>
              <w:t>专业素质</w:t>
            </w:r>
          </w:p>
        </w:tc>
        <w:tc>
          <w:tcPr>
            <w:tcW w:w="382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目标3：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具备家国情怀、良好的职业道德操守，遵纪守法；能够在社会实践中理解并遵守市场营销职业道德和行为规范，履行责任。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目标4：</w:t>
            </w:r>
          </w:p>
          <w:p>
            <w:pPr>
              <w:tabs>
                <w:tab w:val="left" w:pos="1440"/>
              </w:tabs>
              <w:autoSpaceDE w:val="0"/>
              <w:autoSpaceDN w:val="0"/>
              <w:outlineLvl w:val="0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形成良好的专业思维模式和学习方法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，树立专业思想和学习观，能够科学制定大学规划和职业生涯规划。</w:t>
            </w:r>
          </w:p>
        </w:tc>
        <w:tc>
          <w:tcPr>
            <w:tcW w:w="2721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6.1具备家国情怀、良好的职业道德操守，遵纪守法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8.1具有较强的自主学习、知识更新与积累能力和终身学习意识、社会认知和自我认知能力</w:t>
            </w:r>
          </w:p>
        </w:tc>
        <w:tc>
          <w:tcPr>
            <w:tcW w:w="181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职业规范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8.终身学习</w:t>
            </w:r>
          </w:p>
        </w:tc>
      </w:tr>
    </w:tbl>
    <w:p>
      <w:pPr>
        <w:autoSpaceDE w:val="0"/>
        <w:autoSpaceDN w:val="0"/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numPr>
          <w:ilvl w:val="0"/>
          <w:numId w:val="0"/>
        </w:numPr>
        <w:autoSpaceDE w:val="0"/>
        <w:autoSpaceDN w:val="0"/>
        <w:ind w:firstLine="562" w:firstLineChars="200"/>
        <w:jc w:val="left"/>
        <w:rPr>
          <w:rFonts w:ascii="Times New Roman" w:hAnsi="宋体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  <w:lang w:val="en-US" w:eastAsia="zh-CN" w:bidi="ar-SA"/>
        </w:rPr>
        <w:t>四、</w:t>
      </w: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  <w:t>课程主要教学内容、学时安排及教学策略</w:t>
      </w:r>
    </w:p>
    <w:tbl>
      <w:tblPr>
        <w:tblStyle w:val="3"/>
        <w:tblW w:w="864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25"/>
        <w:gridCol w:w="5012"/>
        <w:gridCol w:w="1438"/>
        <w:gridCol w:w="7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897" w:type="dxa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教学模块 </w:t>
            </w:r>
          </w:p>
        </w:tc>
        <w:tc>
          <w:tcPr>
            <w:tcW w:w="525" w:type="dxa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学时</w:t>
            </w:r>
          </w:p>
        </w:tc>
        <w:tc>
          <w:tcPr>
            <w:tcW w:w="5012" w:type="dxa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主要教学内容与策略</w:t>
            </w: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学习任务安排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支撑课程目标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专业发展历程及现状</w:t>
            </w: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01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  <w:t>专业的学科发展历程和发展方向；本校</w:t>
            </w:r>
            <w:r>
              <w:rPr>
                <w:rFonts w:hint="eastAsia" w:asciiTheme="minorEastAsia" w:hAnsiTheme="minorEastAsia"/>
                <w:bCs/>
                <w:color w:val="333333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  <w:t>专业发展历程及现状、专业培养目标、专业教学资源、专业师资队伍建设情况等。</w:t>
            </w:r>
          </w:p>
          <w:p>
            <w:pPr>
              <w:adjustRightInd w:val="0"/>
              <w:rPr>
                <w:rFonts w:hint="eastAsia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难点：</w:t>
            </w:r>
            <w:r>
              <w:t>市场营销专业的人才培养</w:t>
            </w:r>
            <w:r>
              <w:rPr>
                <w:rFonts w:hint="eastAsia"/>
                <w:lang w:val="en-US" w:eastAsia="zh-CN"/>
              </w:rPr>
              <w:t>方案</w:t>
            </w:r>
            <w:r>
              <w:t>介绍</w:t>
            </w:r>
            <w:r>
              <w:rPr>
                <w:rFonts w:hint="eastAsia"/>
                <w:lang w:eastAsia="zh-CN"/>
              </w:rPr>
              <w:t>；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  <w:t>专业毕业要求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思政元素：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  <w:t>系统观、全局观、专业认同感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教学方法与策略：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以PPT课件线下教学为主讲解基本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内容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，辅之以案例、视频加深学生对基本概念的理解；课堂中设置问题，引导学生思考、讨论，鼓励学生踊跃发言以激发学生兴趣和热情。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查阅资料了解专业的发展现状。</w:t>
            </w:r>
          </w:p>
          <w:p>
            <w:pPr>
              <w:adjustRightInd w:val="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师讲授、学生发言。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课后：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复习巩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目标1</w:t>
            </w:r>
          </w:p>
          <w:p>
            <w:pPr>
              <w:autoSpaceDE w:val="0"/>
              <w:autoSpaceDN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目标2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专业课程体系及学习要求</w:t>
            </w: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012" w:type="dxa"/>
            <w:vAlign w:val="center"/>
          </w:tcPr>
          <w:p>
            <w:pPr>
              <w:adjustRightInd w:val="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重点：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</w:rPr>
              <w:t>专业教学计划及课程体系；专业核心课程及学习要求；专业选修课程及选课要求；专业实践课程及实践环节。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难点：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市场营销专业教学计划及课程安排；专业课学习要求。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教学方法与策略：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线下教学。课堂主要采用思维导图，梳理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专业课程设置逻辑，明确专业技能的培养路径，引发学生深入思考，提升专业技能和教学效果。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：学习教师发布的课程资料</w:t>
            </w:r>
          </w:p>
          <w:p>
            <w:pPr>
              <w:adjustRightIn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：讨论、提问</w:t>
            </w:r>
          </w:p>
          <w:p>
            <w:pPr>
              <w:autoSpaceDE w:val="0"/>
              <w:autoSpaceDN w:val="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：完成相关作业和课后讨论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目标1</w:t>
            </w:r>
          </w:p>
          <w:p>
            <w:pPr>
              <w:autoSpaceDE w:val="0"/>
              <w:autoSpaceDN w:val="0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目标4</w:t>
            </w:r>
          </w:p>
          <w:p>
            <w:pPr>
              <w:autoSpaceDE w:val="0"/>
              <w:autoSpaceDN w:val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考研升学及学科竞赛</w:t>
            </w:r>
          </w:p>
        </w:tc>
        <w:tc>
          <w:tcPr>
            <w:tcW w:w="52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5012" w:type="dxa"/>
            <w:vAlign w:val="center"/>
          </w:tcPr>
          <w:p>
            <w:pPr>
              <w:adjustRightInd w:val="0"/>
              <w:jc w:val="both"/>
              <w:rPr>
                <w:rFonts w:hint="eastAsia" w:eastAsiaTheme="minorEastAsia"/>
                <w:b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重点：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专业的深造通道；考研的准备和流程；留学的流程和注意事项；学科竞赛的种类、举办时间、内容和参赛要求</w:t>
            </w:r>
            <w:r>
              <w:rPr>
                <w:rFonts w:hint="eastAsia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jc w:val="both"/>
              <w:rPr>
                <w:rFonts w:hint="eastAsia" w:eastAsia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难点：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市场营销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专业的考研准备和流程；学科竞赛的种类、举办时间、内容和参赛要求</w:t>
            </w:r>
            <w:r>
              <w:rPr>
                <w:rFonts w:hint="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adjustRightInd w:val="0"/>
              <w:jc w:val="both"/>
              <w:rPr>
                <w:rFonts w:hint="eastAsia" w:eastAsia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思政元素：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团队合作</w:t>
            </w:r>
            <w:r>
              <w:rPr>
                <w:rFonts w:hint="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意识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Bidi"/>
                <w:bCs/>
                <w:color w:val="333333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教学方法与策略：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  <w:t>教学以课堂讲授为主，并辅助以课堂讨论。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：学习教师发布的课程资料</w:t>
            </w:r>
          </w:p>
          <w:p>
            <w:pPr>
              <w:adjustRightInd w:val="0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：讨论、提问</w:t>
            </w:r>
          </w:p>
          <w:p>
            <w:pPr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：完成相关作业和课后讨论</w:t>
            </w:r>
          </w:p>
        </w:tc>
        <w:tc>
          <w:tcPr>
            <w:tcW w:w="772" w:type="dxa"/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目标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97" w:type="dxa"/>
            <w:vAlign w:val="center"/>
          </w:tcPr>
          <w:p>
            <w:pPr>
              <w:autoSpaceDE w:val="0"/>
              <w:autoSpaceDN w:val="0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市场营销专业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职业生涯规划</w:t>
            </w:r>
          </w:p>
        </w:tc>
        <w:tc>
          <w:tcPr>
            <w:tcW w:w="52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012" w:type="dxa"/>
            <w:vAlign w:val="center"/>
          </w:tcPr>
          <w:p>
            <w:pPr>
              <w:adjustRightInd w:val="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重点：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了解市场营销专业毕业生的职业生涯发展。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  <w:t>引导学生掌握学习方法，立足自身现状，合理制定大学学习规划和职业生涯规划，树立未来远大目标。</w:t>
            </w:r>
          </w:p>
          <w:p>
            <w:pPr>
              <w:adjustRightInd w:val="0"/>
              <w:jc w:val="both"/>
              <w:rPr>
                <w:rFonts w:asciiTheme="minorEastAsia" w:hAnsiTheme="minorEastAsia" w:eastAsiaTheme="minorEastAsia"/>
                <w:b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难点：</w:t>
            </w:r>
            <w:r>
              <w:rPr>
                <w:rFonts w:hint="eastAsia" w:asciiTheme="minorEastAsia" w:hAnsiTheme="minorEastAsia" w:eastAsiaTheme="minorEastAsia"/>
                <w:bCs/>
                <w:color w:val="333333"/>
                <w:sz w:val="21"/>
                <w:szCs w:val="21"/>
              </w:rPr>
              <w:t>如何科学地制定学习和职业规划？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思政元素：</w:t>
            </w: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树立终身学习理念，学以致用、用以促学，一步一个脚印，实现个人全面发展，实现中华民族伟大复兴。</w:t>
            </w:r>
          </w:p>
          <w:p>
            <w:pPr>
              <w:spacing w:beforeAutospacing="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333333"/>
                <w:sz w:val="21"/>
                <w:szCs w:val="21"/>
              </w:rPr>
              <w:t>教学方法与策略：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线下教学。课堂主要运用案例分析法辅以启发式提问开展学习方法的讨论，引导学生独立思考问题和科学审视自身现状，合理制定学习规划。</w:t>
            </w:r>
          </w:p>
        </w:tc>
        <w:tc>
          <w:tcPr>
            <w:tcW w:w="1438" w:type="dxa"/>
            <w:vAlign w:val="center"/>
          </w:tcPr>
          <w:p>
            <w:pPr>
              <w:adjustRightIn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课前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：学习教师发布的课程资料</w:t>
            </w:r>
          </w:p>
          <w:p>
            <w:pPr>
              <w:adjustRightInd w:val="0"/>
              <w:jc w:val="left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课堂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：讨论、提问</w:t>
            </w:r>
          </w:p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课后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：完成相关作业和课后讨论</w:t>
            </w:r>
          </w:p>
        </w:tc>
        <w:tc>
          <w:tcPr>
            <w:tcW w:w="772" w:type="dxa"/>
            <w:vAlign w:val="center"/>
          </w:tcPr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  <w:p>
            <w:pPr>
              <w:autoSpaceDE w:val="0"/>
              <w:autoSpaceDN w:val="0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</w:tr>
    </w:tbl>
    <w:p>
      <w:pPr>
        <w:autoSpaceDE w:val="0"/>
        <w:autoSpaceDN w:val="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</w:rPr>
      </w:pPr>
    </w:p>
    <w:p>
      <w:pPr>
        <w:numPr>
          <w:ilvl w:val="0"/>
          <w:numId w:val="1"/>
        </w:numPr>
        <w:autoSpaceDE w:val="0"/>
        <w:autoSpaceDN w:val="0"/>
        <w:ind w:firstLine="562" w:firstLineChars="200"/>
        <w:jc w:val="left"/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  <w:t>学生学习成效评估方式及标准</w:t>
      </w:r>
    </w:p>
    <w:p>
      <w:pPr>
        <w:spacing w:line="360" w:lineRule="auto"/>
        <w:ind w:firstLine="281" w:firstLineChars="1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考核与评价是对课程教学目标中的知识目标、能力目标和素质目标等进行综合评价。本课程在人才培养方案中的考核形式是考查，课程考核成绩评定由平时成绩和期末考核两部分构成。学生的最终成绩采用五级制，总评分数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90～100分评定为优秀，80～89分为良好，70～79分为中等，60～69分评定为及格，60分以下则评定为不及格。</w:t>
      </w:r>
    </w:p>
    <w:p>
      <w:pPr>
        <w:spacing w:line="360" w:lineRule="auto"/>
        <w:ind w:firstLine="420" w:firstLineChars="200"/>
        <w:rPr>
          <w:rFonts w:hint="default" w:ascii="Times New Roman" w:hAnsi="宋体" w:eastAsia="宋体" w:cs="Times New Roman"/>
          <w:b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1.平时成绩（占总成绩的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40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%）：采用百分制。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考勤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0%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课堂表现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10%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）和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平时作业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0%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）三个部分。评分标准如下表：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68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40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ind w:firstLine="422" w:firstLineChars="200"/>
              <w:rPr>
                <w:rFonts w:hint="eastAsia" w:ascii="Times New Roman" w:cs="Times New Roman" w:eastAsiaTheme="minorEastAsia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6873" w:type="dxa"/>
            <w:vAlign w:val="center"/>
          </w:tcPr>
          <w:p>
            <w:pPr>
              <w:widowControl w:val="0"/>
              <w:autoSpaceDE w:val="0"/>
              <w:autoSpaceDN w:val="0"/>
              <w:ind w:firstLine="2108" w:firstLineChars="100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     分    标    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40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73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1.考勤；2.课堂表现；3.平时作业。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widowControl w:val="0"/>
              <w:autoSpaceDE w:val="0"/>
              <w:autoSpaceDN w:val="0"/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9</w:t>
            </w:r>
            <w:r>
              <w:rPr>
                <w:color w:val="333333"/>
                <w:sz w:val="21"/>
                <w:szCs w:val="21"/>
              </w:rPr>
              <w:t>0-100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873" w:type="dxa"/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1.无无故迟到、早退、旷课现象。</w:t>
            </w:r>
          </w:p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2.课堂听讲认真、积极参与讨论、主动回答问题、按照要求完成各项课堂任务。</w:t>
            </w:r>
          </w:p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3.平时作业符合授课教师要求，9</w:t>
            </w:r>
            <w:r>
              <w:rPr>
                <w:color w:val="333333"/>
                <w:sz w:val="21"/>
                <w:szCs w:val="21"/>
              </w:rPr>
              <w:t>0%</w:t>
            </w:r>
            <w:r>
              <w:rPr>
                <w:rFonts w:hint="eastAsia"/>
                <w:color w:val="333333"/>
                <w:sz w:val="21"/>
                <w:szCs w:val="21"/>
              </w:rPr>
              <w:t>内容回答合理，按时提交。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widowControl w:val="0"/>
              <w:autoSpaceDE w:val="0"/>
              <w:autoSpaceDN w:val="0"/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8</w:t>
            </w:r>
            <w:r>
              <w:rPr>
                <w:color w:val="333333"/>
                <w:sz w:val="21"/>
                <w:szCs w:val="21"/>
              </w:rPr>
              <w:t>0-90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873" w:type="dxa"/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1.迟到、早退、旷课现象最多出现1</w:t>
            </w:r>
            <w:r>
              <w:rPr>
                <w:color w:val="333333"/>
                <w:sz w:val="21"/>
                <w:szCs w:val="21"/>
              </w:rPr>
              <w:t>-2</w:t>
            </w:r>
            <w:r>
              <w:rPr>
                <w:rFonts w:hint="eastAsia"/>
                <w:color w:val="333333"/>
                <w:sz w:val="21"/>
                <w:szCs w:val="21"/>
              </w:rPr>
              <w:t>次，或无缺勤、迟到早退现象。</w:t>
            </w:r>
          </w:p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2.课堂听讲认真、能主动参与讨论、积极回答问题、基本完成课堂任务。</w:t>
            </w:r>
          </w:p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3.平时作业符合授课教师要求，8</w:t>
            </w:r>
            <w:r>
              <w:rPr>
                <w:color w:val="333333"/>
                <w:sz w:val="21"/>
                <w:szCs w:val="21"/>
              </w:rPr>
              <w:t>0%</w:t>
            </w:r>
            <w:r>
              <w:rPr>
                <w:rFonts w:hint="eastAsia"/>
                <w:color w:val="333333"/>
                <w:sz w:val="21"/>
                <w:szCs w:val="21"/>
              </w:rPr>
              <w:t>内容回答合理，按时提交。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widowControl w:val="0"/>
              <w:autoSpaceDE w:val="0"/>
              <w:autoSpaceDN w:val="0"/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7</w:t>
            </w:r>
            <w:r>
              <w:rPr>
                <w:color w:val="333333"/>
                <w:sz w:val="21"/>
                <w:szCs w:val="21"/>
              </w:rPr>
              <w:t>0-79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873" w:type="dxa"/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1.迟到、早退、旷课现象最多出现3</w:t>
            </w:r>
            <w:r>
              <w:rPr>
                <w:color w:val="333333"/>
                <w:sz w:val="21"/>
                <w:szCs w:val="21"/>
              </w:rPr>
              <w:t>-4</w:t>
            </w:r>
            <w:r>
              <w:rPr>
                <w:rFonts w:hint="eastAsia"/>
                <w:color w:val="333333"/>
                <w:sz w:val="21"/>
                <w:szCs w:val="21"/>
              </w:rPr>
              <w:t>次，或无缺勤、迟到早退现象。</w:t>
            </w:r>
          </w:p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2.课堂听讲认真、在老师引领下能主动参与讨论并回答问题、基本完成课堂任务。</w:t>
            </w:r>
          </w:p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3.平时作业比较符合授课教师要求，7</w:t>
            </w:r>
            <w:r>
              <w:rPr>
                <w:color w:val="333333"/>
                <w:sz w:val="21"/>
                <w:szCs w:val="21"/>
              </w:rPr>
              <w:t>0%</w:t>
            </w:r>
            <w:r>
              <w:rPr>
                <w:rFonts w:hint="eastAsia"/>
                <w:color w:val="333333"/>
                <w:sz w:val="21"/>
                <w:szCs w:val="21"/>
              </w:rPr>
              <w:t>内容回答合理，基本按时提交。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widowControl w:val="0"/>
              <w:autoSpaceDE w:val="0"/>
              <w:autoSpaceDN w:val="0"/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6</w:t>
            </w:r>
            <w:r>
              <w:rPr>
                <w:color w:val="333333"/>
                <w:sz w:val="21"/>
                <w:szCs w:val="21"/>
              </w:rPr>
              <w:t>0-69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873" w:type="dxa"/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1.迟到、早退、旷课现象最多出现5</w:t>
            </w:r>
            <w:r>
              <w:rPr>
                <w:color w:val="333333"/>
                <w:sz w:val="21"/>
                <w:szCs w:val="21"/>
              </w:rPr>
              <w:t>-6</w:t>
            </w:r>
            <w:r>
              <w:rPr>
                <w:rFonts w:hint="eastAsia"/>
                <w:color w:val="333333"/>
                <w:sz w:val="21"/>
                <w:szCs w:val="21"/>
              </w:rPr>
              <w:t>次，或无缺勤、迟到早退现象。</w:t>
            </w:r>
          </w:p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2.课堂听讲一般、在老师多次引导下才参与讨论、在师生帮助下基本完成课堂任务。</w:t>
            </w:r>
          </w:p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3.平时作业基本符合授课教师要求，6</w:t>
            </w:r>
            <w:r>
              <w:rPr>
                <w:color w:val="333333"/>
                <w:sz w:val="21"/>
                <w:szCs w:val="21"/>
              </w:rPr>
              <w:t>0%</w:t>
            </w:r>
            <w:r>
              <w:rPr>
                <w:rFonts w:hint="eastAsia"/>
                <w:color w:val="333333"/>
                <w:sz w:val="21"/>
                <w:szCs w:val="21"/>
              </w:rPr>
              <w:t>内容回答合理，基本按时提交。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6</w:t>
            </w:r>
            <w:r>
              <w:rPr>
                <w:color w:val="333333"/>
                <w:sz w:val="21"/>
                <w:szCs w:val="21"/>
              </w:rPr>
              <w:t>0</w:t>
            </w:r>
            <w:r>
              <w:rPr>
                <w:rFonts w:hint="eastAsia"/>
                <w:color w:val="333333"/>
                <w:sz w:val="21"/>
                <w:szCs w:val="21"/>
              </w:rPr>
              <w:t>分以下</w:t>
            </w:r>
          </w:p>
        </w:tc>
        <w:tc>
          <w:tcPr>
            <w:tcW w:w="6873" w:type="dxa"/>
            <w:vAlign w:val="center"/>
          </w:tcPr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 xml:space="preserve">1.经常无故迟到、早退、旷课。 </w:t>
            </w:r>
          </w:p>
          <w:p>
            <w:pPr>
              <w:widowControl w:val="0"/>
              <w:autoSpaceDE w:val="0"/>
              <w:autoSpaceDN w:val="0"/>
              <w:spacing w:line="280" w:lineRule="exact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2.课堂不认真听讲，存在睡觉、玩手机、不积极参与讨论。</w:t>
            </w:r>
          </w:p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3.平时作业未按时提交。</w:t>
            </w:r>
          </w:p>
        </w:tc>
      </w:tr>
    </w:tbl>
    <w:p>
      <w:pPr>
        <w:widowControl w:val="0"/>
        <w:autoSpaceDE w:val="0"/>
        <w:autoSpaceDN w:val="0"/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2.期末课程报告（占总成绩的60%）：采用百分制。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在学期结束后学生完成一篇课程学习总结，字数不少于3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000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字。评分标准如下表所示：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67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533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ind w:firstLine="422" w:firstLineChars="200"/>
              <w:rPr>
                <w:rFonts w:hint="eastAsia" w:ascii="Times New Roman" w:cs="Times New Roman" w:eastAsiaTheme="minorEastAsia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分数</w:t>
            </w:r>
          </w:p>
        </w:tc>
        <w:tc>
          <w:tcPr>
            <w:tcW w:w="6743" w:type="dxa"/>
            <w:vAlign w:val="center"/>
          </w:tcPr>
          <w:p>
            <w:pPr>
              <w:widowControl w:val="0"/>
              <w:autoSpaceDE w:val="0"/>
              <w:autoSpaceDN w:val="0"/>
              <w:ind w:firstLine="2108" w:firstLineChars="100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评     分    标     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533" w:type="dxa"/>
            <w:vMerge w:val="continue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43" w:type="dxa"/>
            <w:vAlign w:val="center"/>
          </w:tcPr>
          <w:p>
            <w:pPr>
              <w:widowControl w:val="0"/>
              <w:autoSpaceDE w:val="0"/>
              <w:autoSpaceDN w:val="0"/>
              <w:rPr>
                <w:rFonts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cs="Times New Roman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课程学习总结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 w:val="0"/>
              <w:autoSpaceDE w:val="0"/>
              <w:autoSpaceDN w:val="0"/>
              <w:spacing w:line="329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9</w:t>
            </w:r>
            <w:r>
              <w:rPr>
                <w:color w:val="333333"/>
                <w:sz w:val="21"/>
                <w:szCs w:val="21"/>
              </w:rPr>
              <w:t>0-100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743" w:type="dxa"/>
            <w:vAlign w:val="center"/>
          </w:tcPr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课程学习总结结构合理完整、格式整齐美观、内容完善深入、有深刻地自我体会与分析、文字组织流畅、表达准确无误、按时提交。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 w:val="0"/>
              <w:autoSpaceDE w:val="0"/>
              <w:autoSpaceDN w:val="0"/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8</w:t>
            </w:r>
            <w:r>
              <w:rPr>
                <w:color w:val="333333"/>
                <w:sz w:val="21"/>
                <w:szCs w:val="21"/>
              </w:rPr>
              <w:t>0-90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743" w:type="dxa"/>
            <w:vAlign w:val="center"/>
          </w:tcPr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课程学习总结结构比较合理、格式比较整齐、内容比较完善、有比较深入地自我体会与分析、行文流畅、表达准确、按时提交。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 w:val="0"/>
              <w:autoSpaceDE w:val="0"/>
              <w:autoSpaceDN w:val="0"/>
              <w:spacing w:line="38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7</w:t>
            </w:r>
            <w:r>
              <w:rPr>
                <w:color w:val="333333"/>
                <w:sz w:val="21"/>
                <w:szCs w:val="21"/>
              </w:rPr>
              <w:t>0-79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743" w:type="dxa"/>
            <w:vAlign w:val="center"/>
          </w:tcPr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课程学习总结结构基本合理、格式基本整齐、内容一般、有一定程度的自我体会与分析、行文表达一般、基本按时提交。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 w:val="0"/>
              <w:autoSpaceDE w:val="0"/>
              <w:autoSpaceDN w:val="0"/>
              <w:spacing w:line="376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6</w:t>
            </w:r>
            <w:r>
              <w:rPr>
                <w:color w:val="333333"/>
                <w:sz w:val="21"/>
                <w:szCs w:val="21"/>
              </w:rPr>
              <w:t>0-69</w:t>
            </w:r>
            <w:r>
              <w:rPr>
                <w:rFonts w:hint="eastAsia"/>
                <w:color w:val="333333"/>
                <w:sz w:val="21"/>
                <w:szCs w:val="21"/>
              </w:rPr>
              <w:t>分</w:t>
            </w:r>
          </w:p>
        </w:tc>
        <w:tc>
          <w:tcPr>
            <w:tcW w:w="6743" w:type="dxa"/>
            <w:vAlign w:val="center"/>
          </w:tcPr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课程学习总结结构一般、格式不够美观、内容一般、文字表达一般。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3" w:type="dxa"/>
            <w:vAlign w:val="center"/>
          </w:tcPr>
          <w:p>
            <w:pPr>
              <w:widowControl w:val="0"/>
              <w:autoSpaceDE w:val="0"/>
              <w:autoSpaceDN w:val="0"/>
              <w:spacing w:line="272" w:lineRule="exact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6</w:t>
            </w:r>
            <w:r>
              <w:rPr>
                <w:color w:val="333333"/>
                <w:sz w:val="21"/>
                <w:szCs w:val="21"/>
              </w:rPr>
              <w:t>0</w:t>
            </w:r>
            <w:r>
              <w:rPr>
                <w:rFonts w:hint="eastAsia"/>
                <w:color w:val="333333"/>
                <w:sz w:val="21"/>
                <w:szCs w:val="21"/>
              </w:rPr>
              <w:t>分以下</w:t>
            </w:r>
          </w:p>
        </w:tc>
        <w:tc>
          <w:tcPr>
            <w:tcW w:w="6743" w:type="dxa"/>
            <w:vAlign w:val="center"/>
          </w:tcPr>
          <w:p>
            <w:pPr>
              <w:widowControl w:val="0"/>
              <w:autoSpaceDE w:val="0"/>
              <w:autoSpaceDN w:val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课程学习总结未按时提交，且字数未符合要求。</w:t>
            </w:r>
          </w:p>
        </w:tc>
      </w:tr>
    </w:tbl>
    <w:p/>
    <w:p>
      <w:pPr>
        <w:numPr>
          <w:ilvl w:val="0"/>
          <w:numId w:val="0"/>
        </w:numPr>
        <w:autoSpaceDE w:val="0"/>
        <w:autoSpaceDN w:val="0"/>
        <w:ind w:left="0" w:leftChars="0" w:firstLine="562" w:firstLineChars="200"/>
        <w:jc w:val="left"/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</w:pP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  <w:lang w:val="en-US" w:eastAsia="zh-CN"/>
        </w:rPr>
        <w:t>六、</w:t>
      </w:r>
      <w:r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  <w:t>教学安排及要求</w:t>
      </w:r>
    </w:p>
    <w:tbl>
      <w:tblPr>
        <w:tblStyle w:val="4"/>
        <w:tblpPr w:leftFromText="180" w:rightFromText="180" w:vertAnchor="text" w:horzAnchor="margin" w:tblpY="16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549"/>
        <w:gridCol w:w="6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27" w:type="dxa"/>
            <w:vAlign w:val="center"/>
          </w:tcPr>
          <w:p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教学安排事项</w:t>
            </w:r>
          </w:p>
        </w:tc>
        <w:tc>
          <w:tcPr>
            <w:tcW w:w="6146" w:type="dxa"/>
            <w:vAlign w:val="center"/>
          </w:tcPr>
          <w:p>
            <w:pPr>
              <w:ind w:firstLine="422" w:firstLineChars="200"/>
              <w:jc w:val="center"/>
              <w:rPr>
                <w:rFonts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要    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7" w:type="dxa"/>
            <w:vAlign w:val="center"/>
          </w:tcPr>
          <w:p>
            <w:pPr>
              <w:snapToGrid w:val="0"/>
              <w:ind w:firstLine="210" w:firstLineChars="10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授课教师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职称：讲师（或其他中级）及以上 </w:t>
            </w:r>
            <w:r>
              <w:rPr>
                <w:rFonts w:hint="eastAsia" w:cs="Times New Roman" w:asciiTheme="minorEastAsia" w:hAnsi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学历（位）：硕士及以上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其他：无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27" w:type="dxa"/>
            <w:vAlign w:val="center"/>
          </w:tcPr>
          <w:p>
            <w:pPr>
              <w:snapToGrid w:val="0"/>
              <w:ind w:left="18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课程时间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周次：1</w:t>
            </w:r>
            <w: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-16</w:t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节次：无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827" w:type="dxa"/>
            <w:vAlign w:val="center"/>
          </w:tcPr>
          <w:p>
            <w:pPr>
              <w:snapToGrid w:val="0"/>
              <w:ind w:left="18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授课地点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教室         □实验室       □室外场地  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□其他：无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7" w:type="dxa"/>
            <w:vAlign w:val="center"/>
          </w:tcPr>
          <w:p>
            <w:pPr>
              <w:snapToGrid w:val="0"/>
              <w:ind w:left="181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49" w:type="dxa"/>
            <w:vAlign w:val="center"/>
          </w:tcPr>
          <w:p>
            <w:pPr>
              <w:snapToGrid w:val="0"/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学生辅导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线上方式及时间安排：企业微信课程群，正常上班时间</w:t>
            </w:r>
          </w:p>
          <w:p>
            <w:pPr>
              <w:rPr>
                <w:rFonts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线下地点及时间安排：上课前后在授课教室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jc w:val="left"/>
        <w:rPr>
          <w:rFonts w:hint="eastAsia" w:ascii="Times New Roman" w:hAnsi="宋体" w:eastAsia="宋体" w:cs="Times New Roman"/>
          <w:b/>
          <w:color w:val="000000"/>
          <w:kern w:val="0"/>
          <w:sz w:val="28"/>
          <w:szCs w:val="28"/>
        </w:rPr>
      </w:pPr>
    </w:p>
    <w:p/>
    <w:p>
      <w:pPr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七、选用教材</w:t>
      </w:r>
    </w:p>
    <w:p>
      <w:pPr>
        <w:spacing w:line="360" w:lineRule="auto"/>
        <w:ind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</w:t>
      </w:r>
    </w:p>
    <w:p>
      <w:pPr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八、参考资料</w:t>
      </w: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color w:val="000000"/>
          <w:kern w:val="0"/>
          <w:szCs w:val="21"/>
        </w:rPr>
      </w:pPr>
      <w:r>
        <w:rPr>
          <w:rFonts w:hint="eastAsia" w:ascii="宋体" w:hAnsi="宋体" w:eastAsia="宋体" w:cs="Times New Roman"/>
          <w:color w:val="000000"/>
          <w:kern w:val="0"/>
          <w:szCs w:val="21"/>
        </w:rPr>
        <w:t>[1]吴健安、聂元昆：《</w:t>
      </w: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市场营销学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》（第</w:t>
      </w: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7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版），高等教育出版社，20</w:t>
      </w: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22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年</w:t>
      </w:r>
      <w:r>
        <w:rPr>
          <w:rFonts w:hint="eastAsia" w:ascii="宋体" w:hAnsi="宋体" w:eastAsia="宋体" w:cs="Times New Roman"/>
          <w:color w:val="000000"/>
          <w:kern w:val="0"/>
          <w:szCs w:val="21"/>
          <w:lang w:val="en-US" w:eastAsia="zh-CN"/>
        </w:rPr>
        <w:t>8</w:t>
      </w:r>
      <w:r>
        <w:rPr>
          <w:rFonts w:hint="eastAsia" w:ascii="宋体" w:hAnsi="宋体" w:eastAsia="宋体" w:cs="Times New Roman"/>
          <w:color w:val="000000"/>
          <w:kern w:val="0"/>
          <w:szCs w:val="21"/>
        </w:rPr>
        <w:t>月。</w:t>
      </w:r>
    </w:p>
    <w:p>
      <w:pPr>
        <w:spacing w:line="360" w:lineRule="auto"/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网络资料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[1]东莞城市学院网站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,https://www.dgcu.edu.cn/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[2]东莞城市学院商学院网站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,http://bs.dgcu.edu.cn/webfile/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3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]数字营销虚拟仿真实践平台</w:t>
      </w:r>
      <w:r>
        <w:fldChar w:fldCharType="begin"/>
      </w:r>
      <w:r>
        <w:instrText xml:space="preserve"> HYPERLINK "https://fangzhen.ejuster.cn/" </w:instrText>
      </w:r>
      <w:r>
        <w:fldChar w:fldCharType="separate"/>
      </w:r>
      <w:r>
        <w:rPr>
          <w:rFonts w:cs="Times New Roman" w:asciiTheme="minorEastAsia" w:hAnsiTheme="minorEastAsia" w:eastAsiaTheme="minorEastAsia"/>
          <w:sz w:val="21"/>
          <w:szCs w:val="21"/>
        </w:rPr>
        <w:t>fangzhen.ejuster.cn/</w: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end"/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  <w:r>
        <w:rPr>
          <w:rFonts w:hint="eastAsia" w:cs="Times New Roman" w:asciiTheme="minorEastAsia" w:hAnsiTheme="minorEastAsia" w:eastAsiaTheme="minorEastAsia"/>
          <w:sz w:val="21"/>
          <w:szCs w:val="21"/>
        </w:rPr>
        <w:t>[</w:t>
      </w:r>
      <w:r>
        <w:rPr>
          <w:rFonts w:hint="eastAsia" w:cs="Times New Roman" w:asciiTheme="minorEastAsia" w:hAnsiTheme="minorEastAsia"/>
          <w:sz w:val="21"/>
          <w:szCs w:val="21"/>
          <w:lang w:val="en-US" w:eastAsia="zh-CN"/>
        </w:rPr>
        <w:t>4</w:t>
      </w:r>
      <w:r>
        <w:rPr>
          <w:rFonts w:hint="eastAsia" w:cs="Times New Roman" w:asciiTheme="minorEastAsia" w:hAnsiTheme="minorEastAsia" w:eastAsiaTheme="minorEastAsia"/>
          <w:sz w:val="21"/>
          <w:szCs w:val="21"/>
        </w:rPr>
        <w:t>]营销工程与创新研究中心</w:t>
      </w:r>
      <w:r>
        <w:fldChar w:fldCharType="begin"/>
      </w:r>
      <w:r>
        <w:instrText xml:space="preserve"> HYPERLINK "https://www.whueb.com/" </w:instrText>
      </w:r>
      <w:r>
        <w:fldChar w:fldCharType="separate"/>
      </w:r>
      <w:r>
        <w:rPr>
          <w:rFonts w:cs="Times New Roman" w:asciiTheme="minorEastAsia" w:hAnsiTheme="minorEastAsia" w:eastAsiaTheme="minorEastAsia"/>
          <w:sz w:val="21"/>
          <w:szCs w:val="21"/>
        </w:rPr>
        <w:t>www.whueb.com</w:t>
      </w:r>
      <w:r>
        <w:rPr>
          <w:rFonts w:cs="Times New Roman" w:asciiTheme="minorEastAsia" w:hAnsiTheme="minorEastAsia" w:eastAsiaTheme="minorEastAsia"/>
          <w:sz w:val="21"/>
          <w:szCs w:val="21"/>
        </w:rPr>
        <w:fldChar w:fldCharType="end"/>
      </w:r>
    </w:p>
    <w:p>
      <w:pPr>
        <w:spacing w:line="360" w:lineRule="auto"/>
        <w:ind w:firstLine="422" w:firstLineChars="150"/>
        <w:rPr>
          <w:rFonts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其他资料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]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市场营销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专业人才培养方案</w:t>
      </w:r>
    </w:p>
    <w:p>
      <w:pPr>
        <w:spacing w:line="360" w:lineRule="auto"/>
        <w:ind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]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市场营销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专业课程设置及教学进程计划表</w:t>
      </w: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[</w:t>
      </w:r>
      <w:r>
        <w:rPr>
          <w:rFonts w:hint="eastAsia" w:cs="Times New Roman" w:asciiTheme="minorEastAsia" w:hAnsi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]</w:t>
      </w:r>
      <w:r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人力资源管理专业课程地图</w:t>
      </w:r>
    </w:p>
    <w:p>
      <w:pPr>
        <w:spacing w:line="360" w:lineRule="auto"/>
        <w:ind w:firstLine="420" w:firstLineChars="200"/>
        <w:rPr>
          <w:rFonts w:hint="eastAsia"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20" w:firstLineChars="200"/>
        <w:rPr>
          <w:rFonts w:cs="Times New Roman" w:asciiTheme="minorEastAsia" w:hAnsiTheme="minorEastAsia" w:eastAsiaTheme="minorEastAsia"/>
          <w:sz w:val="21"/>
          <w:szCs w:val="21"/>
        </w:rPr>
      </w:pPr>
    </w:p>
    <w:p>
      <w:pPr>
        <w:autoSpaceDE w:val="0"/>
        <w:autoSpaceDN w:val="0"/>
        <w:spacing w:line="360" w:lineRule="auto"/>
        <w:ind w:firstLine="420" w:firstLineChars="200"/>
        <w:jc w:val="left"/>
        <w:rPr>
          <w:rFonts w:hint="eastAsia" w:ascii="宋体" w:hAnsi="宋体" w:eastAsia="宋体" w:cs="Times New Roman"/>
          <w:color w:val="000000"/>
          <w:kern w:val="0"/>
          <w:szCs w:val="21"/>
        </w:rPr>
      </w:pPr>
    </w:p>
    <w:p>
      <w:pPr>
        <w:autoSpaceDE w:val="0"/>
        <w:autoSpaceDN w:val="0"/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autoSpaceDE w:val="0"/>
        <w:autoSpaceDN w:val="0"/>
        <w:spacing w:line="360" w:lineRule="auto"/>
        <w:ind w:firstLine="5775" w:firstLineChars="2750"/>
        <w:jc w:val="left"/>
        <w:rPr>
          <w:rFonts w:ascii="宋体" w:hAnsi="宋体" w:eastAsia="宋体" w:cs="宋体"/>
          <w:bCs/>
          <w:color w:val="000000"/>
          <w:kern w:val="0"/>
          <w:szCs w:val="21"/>
        </w:rPr>
      </w:pPr>
    </w:p>
    <w:p>
      <w:pPr>
        <w:autoSpaceDE w:val="0"/>
        <w:autoSpaceDN w:val="0"/>
        <w:spacing w:line="360" w:lineRule="auto"/>
        <w:ind w:firstLine="5775" w:firstLineChars="2750"/>
        <w:jc w:val="left"/>
        <w:rPr>
          <w:rFonts w:hint="default" w:ascii="宋体" w:hAnsi="宋体" w:eastAsia="宋体" w:cs="宋体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大纲执笔人：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熊瑛</w:t>
      </w:r>
    </w:p>
    <w:p>
      <w:pPr>
        <w:autoSpaceDE w:val="0"/>
        <w:autoSpaceDN w:val="0"/>
        <w:spacing w:line="360" w:lineRule="auto"/>
        <w:ind w:firstLine="5775" w:firstLineChars="2750"/>
        <w:jc w:val="left"/>
        <w:rPr>
          <w:rFonts w:hint="default" w:ascii="宋体" w:hAnsi="宋体" w:eastAsia="宋体" w:cs="宋体"/>
          <w:bCs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 xml:space="preserve">讨论参与人: 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康美妮</w:t>
      </w:r>
    </w:p>
    <w:p>
      <w:pPr>
        <w:autoSpaceDE w:val="0"/>
        <w:autoSpaceDN w:val="0"/>
        <w:spacing w:line="360" w:lineRule="auto"/>
        <w:ind w:firstLine="5775" w:firstLineChars="2750"/>
        <w:jc w:val="left"/>
        <w:rPr>
          <w:rFonts w:ascii="宋体" w:hAnsi="宋体" w:eastAsia="宋体" w:cs="宋体"/>
          <w:bCs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系（教研室）主任：罗芳</w:t>
      </w:r>
      <w:r>
        <w:rPr>
          <w:rFonts w:ascii="宋体" w:hAnsi="宋体" w:eastAsia="宋体" w:cs="宋体"/>
          <w:bCs/>
          <w:color w:val="000000"/>
          <w:kern w:val="0"/>
          <w:szCs w:val="21"/>
        </w:rPr>
        <w:t xml:space="preserve"> </w:t>
      </w:r>
    </w:p>
    <w:p>
      <w:pPr>
        <w:ind w:firstLine="5880" w:firstLineChars="2800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</w:rPr>
        <w:t>学院（部）审核人：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val="en-US" w:eastAsia="zh-CN"/>
        </w:rPr>
        <w:t>罗卫国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BFB51"/>
    <w:multiLevelType w:val="singleLevel"/>
    <w:tmpl w:val="01CBFB51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MzMzZTQ3NDc3YWJjMWY2OWY0NzI3NmM3YmI1OTcifQ=="/>
  </w:docVars>
  <w:rsids>
    <w:rsidRoot w:val="029D2763"/>
    <w:rsid w:val="01FF3BC3"/>
    <w:rsid w:val="02217FDE"/>
    <w:rsid w:val="029D2763"/>
    <w:rsid w:val="02D33DAC"/>
    <w:rsid w:val="054F44EF"/>
    <w:rsid w:val="0C5B40EC"/>
    <w:rsid w:val="0CDB571B"/>
    <w:rsid w:val="0EE41BF3"/>
    <w:rsid w:val="0F65396A"/>
    <w:rsid w:val="0FAF74C9"/>
    <w:rsid w:val="13B861E6"/>
    <w:rsid w:val="1D083E1C"/>
    <w:rsid w:val="25955156"/>
    <w:rsid w:val="25F25669"/>
    <w:rsid w:val="29C63095"/>
    <w:rsid w:val="2EEE0998"/>
    <w:rsid w:val="2F96498C"/>
    <w:rsid w:val="303243C9"/>
    <w:rsid w:val="32943604"/>
    <w:rsid w:val="38BD5663"/>
    <w:rsid w:val="3A844811"/>
    <w:rsid w:val="3B6D08DD"/>
    <w:rsid w:val="3E393BC1"/>
    <w:rsid w:val="40662A84"/>
    <w:rsid w:val="41461DF0"/>
    <w:rsid w:val="4AD33960"/>
    <w:rsid w:val="4F4977F9"/>
    <w:rsid w:val="54C3004D"/>
    <w:rsid w:val="56AB15B6"/>
    <w:rsid w:val="584E0792"/>
    <w:rsid w:val="5B172EA1"/>
    <w:rsid w:val="5B4B48F9"/>
    <w:rsid w:val="5DA16A52"/>
    <w:rsid w:val="5FFB65B6"/>
    <w:rsid w:val="655B1BDC"/>
    <w:rsid w:val="688E0999"/>
    <w:rsid w:val="697B6C17"/>
    <w:rsid w:val="6B144D07"/>
    <w:rsid w:val="6D505D9E"/>
    <w:rsid w:val="6E5A5127"/>
    <w:rsid w:val="6F174DC6"/>
    <w:rsid w:val="736A712E"/>
    <w:rsid w:val="75B9544D"/>
    <w:rsid w:val="7C9A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ts-alignment-elemen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3053</Words>
  <Characters>3303</Characters>
  <Lines>0</Lines>
  <Paragraphs>0</Paragraphs>
  <TotalTime>11</TotalTime>
  <ScaleCrop>false</ScaleCrop>
  <LinksUpToDate>false</LinksUpToDate>
  <CharactersWithSpaces>3366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2023-07-22T13:54:00Z</dcterms:created>
  <dc:creator>熊瑛</dc:creator>
  <cp:lastModifiedBy>妮可</cp:lastModifiedBy>
  <dcterms:modified xsi:type="dcterms:W3CDTF">2023-08-31T03:47:14Z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E4D393EB52EA4D90B0D9D39C1131D4A3_13</vt:lpwstr>
  </property>
</Properties>
</file>